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FA8" w:rsidRPr="00E35894" w:rsidRDefault="007871F3" w:rsidP="006C6FA8">
      <w:pPr>
        <w:spacing w:line="576" w:lineRule="exact"/>
        <w:jc w:val="center"/>
        <w:rPr>
          <w:rFonts w:ascii="方正小标宋简体" w:eastAsia="方正小标宋简体" w:hAnsi="宋体" w:cs="Times New Roman"/>
          <w:spacing w:val="-24"/>
          <w:kern w:val="0"/>
          <w:sz w:val="44"/>
          <w:szCs w:val="44"/>
        </w:rPr>
      </w:pPr>
      <w:bookmarkStart w:id="0" w:name="_GoBack"/>
      <w:bookmarkEnd w:id="0"/>
      <w:r w:rsidRPr="007871F3">
        <w:rPr>
          <w:rFonts w:ascii="方正小标宋简体" w:eastAsia="方正小标宋简体" w:hAnsi="宋体" w:cs="Times New Roman" w:hint="eastAsia"/>
          <w:spacing w:val="-24"/>
          <w:kern w:val="0"/>
          <w:sz w:val="44"/>
          <w:szCs w:val="44"/>
        </w:rPr>
        <w:t>虹口区</w:t>
      </w:r>
      <w:r w:rsidR="003C15F5">
        <w:rPr>
          <w:rFonts w:ascii="方正小标宋简体" w:eastAsia="方正小标宋简体" w:hAnsi="宋体" w:cs="Times New Roman" w:hint="eastAsia"/>
          <w:spacing w:val="-24"/>
          <w:kern w:val="0"/>
          <w:sz w:val="44"/>
          <w:szCs w:val="44"/>
        </w:rPr>
        <w:t>乐乐</w:t>
      </w:r>
      <w:r w:rsidRPr="007871F3">
        <w:rPr>
          <w:rFonts w:ascii="方正小标宋简体" w:eastAsia="方正小标宋简体" w:hAnsi="宋体" w:cs="Times New Roman" w:hint="eastAsia"/>
          <w:spacing w:val="-24"/>
          <w:kern w:val="0"/>
          <w:sz w:val="44"/>
          <w:szCs w:val="44"/>
        </w:rPr>
        <w:t>幼儿园</w:t>
      </w:r>
      <w:r w:rsidR="006C6FA8" w:rsidRPr="00E35894">
        <w:rPr>
          <w:rFonts w:ascii="方正小标宋简体" w:eastAsia="方正小标宋简体" w:hAnsi="宋体" w:cs="Times New Roman" w:hint="eastAsia"/>
          <w:spacing w:val="-24"/>
          <w:kern w:val="0"/>
          <w:sz w:val="44"/>
          <w:szCs w:val="44"/>
        </w:rPr>
        <w:t>发展性督导评估意见书</w:t>
      </w:r>
    </w:p>
    <w:p w:rsidR="006C6FA8" w:rsidRPr="00D8287C" w:rsidRDefault="006C6FA8" w:rsidP="006C6FA8">
      <w:pPr>
        <w:spacing w:line="576" w:lineRule="exact"/>
        <w:rPr>
          <w:rFonts w:ascii="宋体" w:eastAsia="宋体" w:hAnsi="宋体" w:cs="Times New Roman"/>
          <w:b/>
          <w:spacing w:val="-20"/>
          <w:sz w:val="44"/>
          <w:szCs w:val="44"/>
        </w:rPr>
      </w:pPr>
    </w:p>
    <w:p w:rsidR="003C15F5" w:rsidRPr="003C15F5" w:rsidRDefault="006C6FA8" w:rsidP="003C15F5">
      <w:pPr>
        <w:spacing w:line="576" w:lineRule="exact"/>
        <w:ind w:firstLineChars="200" w:firstLine="640"/>
        <w:rPr>
          <w:rFonts w:ascii="仿宋_GB2312" w:eastAsia="仿宋_GB2312" w:hAnsi="仿宋" w:cs="Times New Roman"/>
          <w:sz w:val="32"/>
          <w:szCs w:val="32"/>
        </w:rPr>
      </w:pPr>
      <w:r w:rsidRPr="006C6FA8">
        <w:rPr>
          <w:rFonts w:ascii="仿宋_GB2312" w:eastAsia="仿宋_GB2312" w:hAnsi="仿宋" w:cs="Times New Roman" w:hint="eastAsia"/>
          <w:sz w:val="32"/>
          <w:szCs w:val="32"/>
        </w:rPr>
        <w:t>为</w:t>
      </w:r>
      <w:r w:rsidR="003C15F5" w:rsidRPr="003C15F5">
        <w:rPr>
          <w:rFonts w:ascii="仿宋_GB2312" w:eastAsia="仿宋_GB2312" w:hAnsi="仿宋" w:cs="Times New Roman" w:hint="eastAsia"/>
          <w:sz w:val="32"/>
          <w:szCs w:val="32"/>
        </w:rPr>
        <w:t>推动虹口学前教育高质量发展，全面贯彻党的教育方针，深化新时代教育督导改革，努力打造普及普惠、安全优质、多元包容的学前教育格局。2026年5月14日，上海市虹口区人民政府教育督导室依据《虹口区中小幼发展性督导评价实施方案》，组织专家组对上海市虹口区乐乐幼儿园进行了发展性督导评估。</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专家组认真听取了杨伟伟园长所作的关于幼儿园发展性督导评估的自评报告，查阅了记录幼儿园近二年的发展轨迹和过程性文本资料，并围绕园务治理、保育教育、安全卫生、资源配置、办园成效等五个方面的工作情况开展了评估工作。专家组实地察看了校园环境；实地了解教育教学设施设备使用情况；观摩了托、小、中、大班的半日活动；访谈了园领导、部分教职员工；召开了部分教工座谈会；发放家长问卷101份，满意率95.83 %。专家组对采集的信息进行了系统整理 、汇总分析，及时与幼儿园领导沟通了信息、交换了意见。</w:t>
      </w:r>
    </w:p>
    <w:p w:rsidR="003C15F5" w:rsidRPr="003C15F5" w:rsidRDefault="003C15F5" w:rsidP="003C15F5">
      <w:pPr>
        <w:spacing w:line="576" w:lineRule="exact"/>
        <w:ind w:firstLineChars="200" w:firstLine="640"/>
        <w:rPr>
          <w:rFonts w:ascii="黑体" w:eastAsia="黑体" w:hAnsi="黑体" w:cs="Times New Roman"/>
          <w:sz w:val="32"/>
          <w:szCs w:val="32"/>
        </w:rPr>
      </w:pPr>
      <w:r w:rsidRPr="003C15F5">
        <w:rPr>
          <w:rFonts w:ascii="黑体" w:eastAsia="黑体" w:hAnsi="黑体" w:cs="Times New Roman" w:hint="eastAsia"/>
          <w:sz w:val="32"/>
          <w:szCs w:val="32"/>
        </w:rPr>
        <w:t>一、总体评定</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上海市虹口区乐乐幼儿园坐落于虹口区凉城街道，始建于1996年9月，为小区公建配套园所，现由原托儿所与幼儿园两大区域整合而成。幼儿园秉持“乐思、乐行，乐美生长”的办园理念，以心理健康教育为办园特色，着力打造温</w:t>
      </w:r>
      <w:r w:rsidRPr="003C15F5">
        <w:rPr>
          <w:rFonts w:ascii="仿宋_GB2312" w:eastAsia="仿宋_GB2312" w:hAnsi="仿宋" w:cs="Times New Roman" w:hint="eastAsia"/>
          <w:sz w:val="32"/>
          <w:szCs w:val="32"/>
        </w:rPr>
        <w:lastRenderedPageBreak/>
        <w:t>馨自主、和谐自然的育人环境，培养“乐美”幼儿。近年来，幼儿园持续优化办园条件，整体布局科学合理、各区域充分利用、设施设备配备齐全。户外活动空间布局合理、质地多元、富有挑战、满足体验，满足幼儿发展体验与发展的需求。幼儿园先后荣获上海市“十四五”家教基地园、上海市安全文明校、虹口区文明单位等称号。</w:t>
      </w:r>
    </w:p>
    <w:p w:rsidR="003C15F5" w:rsidRPr="003C15F5" w:rsidRDefault="003C15F5" w:rsidP="003C15F5">
      <w:pPr>
        <w:spacing w:line="576" w:lineRule="exact"/>
        <w:ind w:firstLineChars="200" w:firstLine="640"/>
        <w:rPr>
          <w:rFonts w:ascii="黑体" w:eastAsia="黑体" w:hAnsi="黑体" w:cs="Times New Roman"/>
          <w:sz w:val="32"/>
          <w:szCs w:val="32"/>
        </w:rPr>
      </w:pPr>
      <w:r w:rsidRPr="003C15F5">
        <w:rPr>
          <w:rFonts w:ascii="黑体" w:eastAsia="黑体" w:hAnsi="黑体" w:cs="Times New Roman" w:hint="eastAsia"/>
          <w:sz w:val="32"/>
          <w:szCs w:val="32"/>
        </w:rPr>
        <w:t>二</w:t>
      </w:r>
      <w:r>
        <w:rPr>
          <w:rFonts w:ascii="黑体" w:eastAsia="黑体" w:hAnsi="黑体" w:cs="Times New Roman" w:hint="eastAsia"/>
          <w:sz w:val="32"/>
          <w:szCs w:val="32"/>
        </w:rPr>
        <w:t>、</w:t>
      </w:r>
      <w:r w:rsidRPr="003C15F5">
        <w:rPr>
          <w:rFonts w:ascii="黑体" w:eastAsia="黑体" w:hAnsi="黑体" w:cs="Times New Roman" w:hint="eastAsia"/>
          <w:sz w:val="32"/>
          <w:szCs w:val="32"/>
        </w:rPr>
        <w:t>成绩与经验</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（一）园务治理</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1.坚持目标引领，聚力协同发展</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幼儿园立足办园实际，坚守正确育人导向，科学构建三年发展目标体系，规划要素齐全、系统完整，具备较强的指导性与可操作性。园所以园本课程优化建设为核心重点项目，落实全员参与、全域推进的工作机制，将各条线发展目标细化分解，明确标准，有机融入每学期园务工作计划，形成闭环管理与常态推进的落实机制。教职工对幼儿园发展规划的知晓度与认可度较高，规划的引领赋能作用得到较好体现。</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2.贯彻依法治理，营造良好氛围</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幼儿园严格落实党组织领导的园长负责制，搭建“一园两室”组织管理体系。以章程为核心，完善《管理手册》，细化各岗位工作职责、操作流程与质量标准，常态化开展制度“立、改、废”工作，实现规范化管理。坚持民主治园，通过座谈访谈、问卷、提案征集等多元方式倾听教职工心声，充分保障教职工民主权利。园所深耕“信任互助、分享合作、思辨学习、创新发展”的校园文化，常态化开展谈心交流，畅通上下联动沟通渠道，凝聚全员发展共识，形成了人性化管理、暖心化育人、协同化发展的良好团队氛围。</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（二）保育教育</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1.关注保教实践，赋能幼儿发展</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全员具备较清晰的职业认知，理解幼儿教师的专业性与职业门槛，努力践行“走进儿童、贴近儿童”的教育理念。教师能立足日常保教现场，关注幼儿生活细节与情感体验，积极构建平等、温暖、融洽的师幼互动氛围。园所严格落实以游戏为基本活动的保教要求，充分尊重幼儿个体差异，在活动设计与组织中对接幼儿多元发展需求，依托生活化、游戏化的实施路径，持续提升保教实施质量。</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2.搭建育人体系，拓展课程资源</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园所积极探索家园社协同育人新路径，扎实开展协同育人实践探索，立足办园特色与区域资源优势，主动挖掘、开发本土化、园本化课程资源。坚持立足幼儿生活、贴近幼儿经验，将生活场景与本土元素有机融入课程实施，丰富课程内容与实施形式，为幼儿提供真实鲜活、丰富多元的学习体验，有效拓宽幼儿学习视野，充实园本课程内涵。</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（三）安全卫生</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1.抓实安全管理，筑牢平安防线</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幼儿园安全制度体系完善，岗位人员全部持证上岗，监控使用管理规范。园内安防设施持续升级，新增14个南操场监控点位，实现园区全覆盖。常态化开展安全宣教、安全隐患排查及应急演练活动，扎实推进师生安全通识培训，全园教职工急救持证率达100%，师幼安全防范意识与应急处置能力持续提升。</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2.优化保育布局，健康成效显著</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园所持续优化保健保育硬件布局，不断强化传染病防控能力。重新规划标准化保育员日常操作室，增设两间传染病专用防控房间。创新优化操作区域划分模式，以班级为单位替代传统功能分区，有效规避人员扎堆、物品交叉接触等风险。同时依托远红外测温等智能设备强化健康监测，园内传染病发生率由16.67%降至6.8%，幼儿在园出勤率由70.94%提升至82.25%，切实守护幼儿身心健康。</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（三）资源配置</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1.优化办园条件，夯实育人环境</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幼儿园班额配置规范，生均场地、绿化、教学用房等各项硬件指标均达标。通过专项改造与自主修缮，翻新活动场地、修缮校舍设施、加固室内场地、加装防坠装置，持续升级办园硬件环境。科学优化户外空间布局，打造屋顶运动平台、沙水活动区、贯通骑行道及野趣运动场地，配齐各类器材，保障幼儿户外活动品质。合理规划室内专用活动室、公共活动区域及特色情绪教育空间，丰富幼儿多元化学习体验。园内保育、保健、后勤配套用房齐全规范，网络、监控、消防安保系统全域覆盖、运行稳定。校园环境整洁有序、特色凸显，全域空间得到高效利用。</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2.注重队伍建设，助力教师成长</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幼儿园秉持“睿智、创新、务实、求真”的教师培育理念，完善师资建设制度与三年发展规划，引导教师制定个人成长方案，搭建分层递进、精准赋能的师资培育体系。常态化抓实师德师风建设，通过多元形式，筑牢师德底线。依托校本研修、教科研训、集团帮扶、结对带教等资源，分层分类培育队伍，细化各岗位工作标准与考评机制，以常态化考核助推专业提质。常态化开展后勤技能培训与竞赛，全面提升保育后勤实操水平。近两年多名教师及后勤人员职称晋级。</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（五）办园成效</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1.幼儿健康自信，习惯养成</w:t>
      </w:r>
      <w:r w:rsidR="00D1514E">
        <w:rPr>
          <w:rFonts w:ascii="仿宋_GB2312" w:eastAsia="仿宋_GB2312" w:hAnsi="仿宋" w:cs="Times New Roman" w:hint="eastAsia"/>
          <w:sz w:val="32"/>
          <w:szCs w:val="32"/>
        </w:rPr>
        <w:t>较好</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幼儿热情大方、情绪积极，态势良好。幼儿热爱体育运动，肢体动作协调灵敏；具备较好自我服务能力，生活习惯规范优良。能主动参与园内各类游戏与活动，灵活运用活动材料开展探究实践。幼儿表达意愿较强；劳动素养初步养成，综合素养稳步发展。</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2.深化家园共育，构建协同格局</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幼儿园健全家委会工作机制，岗位职责清晰、分工落实到位，引导家长多元参与园所管理与监督，充分发挥家园协同赋能作用。常态化开展家庭教育指导工作，依托家长开放日、家长学校、公众号推送等载体实现家园高效沟通、精准共育。依托“妈妈故事团”“爸爸运动团”开展丰富趣味的亲子活动，有效传播科学育儿理念。作为上海市“十四五”家庭教育指导实践基地，园所家园共育工作扎实落地，共育成效显著。</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3.坚持探索研究，特色成效显现</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幼儿园聚焦幼儿心理健康教育，持续开展专项实践研究，聚焦幼儿情绪智力发展打造融合性特色活动，相关实践经验多次在集团交流展示，获得认可。教科研工作成果丰硕，现有两项市级立项课题，聚焦幼儿心理健康个性化管理，幼互动质量提升开展深度研究，三项教科研成果荣获区级二等奖，以科研赋能园所特色发展与保教质量持续提升。</w:t>
      </w:r>
    </w:p>
    <w:p w:rsidR="003C15F5" w:rsidRPr="003C15F5" w:rsidRDefault="003C15F5" w:rsidP="003C15F5">
      <w:pPr>
        <w:spacing w:line="576" w:lineRule="exact"/>
        <w:ind w:firstLineChars="200" w:firstLine="640"/>
        <w:rPr>
          <w:rFonts w:ascii="黑体" w:eastAsia="黑体" w:hAnsi="黑体" w:cs="Times New Roman"/>
          <w:sz w:val="32"/>
          <w:szCs w:val="32"/>
        </w:rPr>
      </w:pPr>
      <w:r w:rsidRPr="003C15F5">
        <w:rPr>
          <w:rFonts w:ascii="黑体" w:eastAsia="黑体" w:hAnsi="黑体" w:cs="Times New Roman" w:hint="eastAsia"/>
          <w:sz w:val="32"/>
          <w:szCs w:val="32"/>
        </w:rPr>
        <w:t>三、问题与建议</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问题1：办园理念、课程理念、办园目标三者逻辑关联不够清晰，三年发展目标定位精准度有待提高。</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建议：</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1.优化顶层规划，构建贯通体系。立足园所长远发展，系统谋划“十五五”发展思路，深度梳理、统一阐释办园理念、课程理念与校园文化核心内涵，构建逻辑贯通、一脉相承的办园价值体系。</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2.明晰育人定位，提升办园品质。团办学优势与区域“虹脚丫”学前教育品牌资源，进一步明晰园所育人定位，持续完善园本课程体系、优化育人场域、夯实师资队伍建设。</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3</w:t>
      </w:r>
      <w:r>
        <w:rPr>
          <w:rFonts w:ascii="仿宋_GB2312" w:eastAsia="仿宋_GB2312" w:hAnsi="仿宋" w:cs="Times New Roman"/>
          <w:sz w:val="32"/>
          <w:szCs w:val="32"/>
        </w:rPr>
        <w:t>.</w:t>
      </w:r>
      <w:r w:rsidRPr="003C15F5">
        <w:rPr>
          <w:rFonts w:ascii="仿宋_GB2312" w:eastAsia="仿宋_GB2312" w:hAnsi="仿宋" w:cs="Times New Roman" w:hint="eastAsia"/>
          <w:sz w:val="32"/>
          <w:szCs w:val="32"/>
        </w:rPr>
        <w:t>深化创新实践，拓宽辐射路径。坚持问题导向，立足教联体平台积极挖掘新型研究项目与发展突破点。立足家长需求，创新家园共育新思路、新举措，提升家园协同育人质效。持续擦亮园所“乐美”办学特色，提升区域影响力。</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问题2</w:t>
      </w:r>
      <w:r>
        <w:rPr>
          <w:rFonts w:ascii="仿宋_GB2312" w:eastAsia="仿宋_GB2312" w:hAnsi="仿宋" w:cs="Times New Roman" w:hint="eastAsia"/>
          <w:sz w:val="32"/>
          <w:szCs w:val="32"/>
        </w:rPr>
        <w:t>：</w:t>
      </w:r>
      <w:r w:rsidRPr="003C15F5">
        <w:rPr>
          <w:rFonts w:ascii="仿宋_GB2312" w:eastAsia="仿宋_GB2312" w:hAnsi="仿宋" w:cs="Times New Roman" w:hint="eastAsia"/>
          <w:sz w:val="32"/>
          <w:szCs w:val="32"/>
        </w:rPr>
        <w:t>课程评价体系有待优化；教师专业发展存在短板。</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建议：</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完善课程评价，提升保教内涵。坚持以游戏为基本活动，强化课程的过程性评价与幼儿发展性评价；引导教师转变教育理念，加强对幼儿游戏活动的观察、解读与支持，关注幼儿个体差异，提供适宜的个性化教育支持，切实提升保教工作的针对性与有效性。</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2.强化专业支持，破解发展瓶颈。建立教师分层培养机制，针对教师职业倦怠、专业能力短板开展专项培训与教研活动，重点提升教师幼儿行为观察、情绪支持、个性化指导的专业能力；完善教师职业发展规划，搭建教师专业成长平台，引导教师树立科学的教育观与专业发展观。</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问题3：后勤保育员、营养员考核缺乏侧重点，评价方式较为单一。</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建议：</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细化操作流程，规范保健保育管理。立足园所现有保健、后勤人员配置及硬件环境、设备条件，结合本园保教工作特点，细化完善常态化保育保健操作规范，打造贴合园所实际、实操性强的园本化操作流程。同步建立培训、指导、考核一体化落实机制。</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2.优化分层考核体系。保育员、营养员不同岗位的工作特点与岗位职责，优化差异化考核评价体系。动态调整考核项目与分值占比，结合幼儿来园等实际情况增设考核内容，细化精准指标充分发挥评价的导向作用与激励效能。</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问题4</w:t>
      </w:r>
      <w:r>
        <w:rPr>
          <w:rFonts w:ascii="仿宋_GB2312" w:eastAsia="仿宋_GB2312" w:hAnsi="仿宋" w:cs="Times New Roman" w:hint="eastAsia"/>
          <w:sz w:val="32"/>
          <w:szCs w:val="32"/>
        </w:rPr>
        <w:t>：</w:t>
      </w:r>
      <w:r w:rsidRPr="003C15F5">
        <w:rPr>
          <w:rFonts w:ascii="仿宋_GB2312" w:eastAsia="仿宋_GB2312" w:hAnsi="仿宋" w:cs="Times New Roman" w:hint="eastAsia"/>
          <w:sz w:val="32"/>
          <w:szCs w:val="32"/>
        </w:rPr>
        <w:t>队伍建设规划覆盖面不足，干部、后勤队伍未纳入整体发展规划，队伍发展目标与园所文化契合度不高，教工分层分类培养及激励机制有待完善。</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建议：</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统筹制定全覆盖队伍规划。以新一轮规划编制与督导整改为契机，制定系统化的教工队伍发展规划。紧扣教育家精神与园所“乐美”文化内核，校准队伍发展目标，实现队伍建设与办园理念、校园文化一脉贯通。</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2.深度融合办园特色。立足园所心理健康教育，将情绪教育、乐美育人理念深度融入队伍建设全过程。充分激活各层级教职工主体动能，依托教研、实践赋能、成长激励等多元路径，培育教职工积极阳光的职业状态，着力打造兼具专业素养与“乐、美”特质的高品质教工队伍，彰显园所特色。</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问题5</w:t>
      </w:r>
      <w:r>
        <w:rPr>
          <w:rFonts w:ascii="仿宋_GB2312" w:eastAsia="仿宋_GB2312" w:hAnsi="仿宋" w:cs="Times New Roman" w:hint="eastAsia"/>
          <w:sz w:val="32"/>
          <w:szCs w:val="32"/>
        </w:rPr>
        <w:t>：</w:t>
      </w:r>
      <w:r w:rsidRPr="003C15F5">
        <w:rPr>
          <w:rFonts w:ascii="仿宋_GB2312" w:eastAsia="仿宋_GB2312" w:hAnsi="仿宋" w:cs="Times New Roman" w:hint="eastAsia"/>
          <w:sz w:val="32"/>
          <w:szCs w:val="32"/>
        </w:rPr>
        <w:t>校园安全精细化管理不足，现场安全细节管控还需加强，台账资料不完善。</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建议：</w:t>
      </w:r>
    </w:p>
    <w:p w:rsidR="003C15F5" w:rsidRPr="003C15F5" w:rsidRDefault="003C15F5" w:rsidP="003C15F5">
      <w:pPr>
        <w:spacing w:line="576" w:lineRule="exact"/>
        <w:ind w:firstLineChars="200" w:firstLine="640"/>
        <w:rPr>
          <w:rFonts w:ascii="仿宋_GB2312" w:eastAsia="仿宋_GB2312" w:hAnsi="仿宋" w:cs="Times New Roman"/>
          <w:sz w:val="32"/>
          <w:szCs w:val="32"/>
        </w:rPr>
      </w:pPr>
      <w:r w:rsidRPr="003C15F5">
        <w:rPr>
          <w:rFonts w:ascii="仿宋_GB2312" w:eastAsia="仿宋_GB2312" w:hAnsi="仿宋" w:cs="Times New Roman" w:hint="eastAsia"/>
          <w:sz w:val="32"/>
          <w:szCs w:val="32"/>
        </w:rPr>
        <w:t>1.强化校园安全精细化管理，细化日常安全细节管控，落实配电箱管理制度上墙，排查消除各类场地设施隐患。同时规范电动车充电管理，完善制度上墙公示，全员签订安全责任书，压实教职工安全责任。</w:t>
      </w:r>
    </w:p>
    <w:p w:rsidR="00C9481C" w:rsidRDefault="003C15F5" w:rsidP="003C15F5">
      <w:pPr>
        <w:spacing w:line="576" w:lineRule="exact"/>
        <w:ind w:firstLineChars="200" w:firstLine="640"/>
      </w:pPr>
      <w:r w:rsidRPr="003C15F5">
        <w:rPr>
          <w:rFonts w:ascii="仿宋_GB2312" w:eastAsia="仿宋_GB2312" w:hAnsi="仿宋" w:cs="Times New Roman" w:hint="eastAsia"/>
          <w:sz w:val="32"/>
          <w:szCs w:val="32"/>
        </w:rPr>
        <w:t>2.完善安全资料规范化管理，补齐安全台账短板，及时完善学期安全工作小结，规范安全宣教手签记录，细化各类安全资料归档标准。</w:t>
      </w:r>
    </w:p>
    <w:sectPr w:rsidR="00C9481C" w:rsidSect="00ED5BA8">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964" w:rsidRDefault="00295964" w:rsidP="00BA3742">
      <w:r>
        <w:separator/>
      </w:r>
    </w:p>
  </w:endnote>
  <w:endnote w:type="continuationSeparator" w:id="0">
    <w:p w:rsidR="00295964" w:rsidRDefault="00295964" w:rsidP="00BA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693509"/>
      <w:docPartObj>
        <w:docPartGallery w:val="Page Numbers (Bottom of Page)"/>
        <w:docPartUnique/>
      </w:docPartObj>
    </w:sdtPr>
    <w:sdtEndPr>
      <w:rPr>
        <w:rFonts w:ascii="宋体" w:eastAsia="宋体" w:hAnsi="宋体"/>
        <w:sz w:val="28"/>
        <w:szCs w:val="28"/>
      </w:rPr>
    </w:sdtEndPr>
    <w:sdtContent>
      <w:p w:rsidR="00ED5BA8" w:rsidRDefault="00ED5BA8">
        <w:pPr>
          <w:pStyle w:val="a5"/>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761923" w:rsidRPr="00761923">
          <w:rPr>
            <w:rFonts w:ascii="宋体" w:eastAsia="宋体" w:hAnsi="宋体"/>
            <w:noProof/>
            <w:sz w:val="28"/>
            <w:szCs w:val="28"/>
            <w:lang w:val="zh-CN"/>
          </w:rPr>
          <w:t>-</w:t>
        </w:r>
        <w:r w:rsidR="00761923">
          <w:rPr>
            <w:rFonts w:ascii="宋体" w:eastAsia="宋体" w:hAnsi="宋体"/>
            <w:noProof/>
            <w:sz w:val="28"/>
            <w:szCs w:val="28"/>
          </w:rPr>
          <w:t xml:space="preserve"> 8 -</w:t>
        </w:r>
        <w:r w:rsidRPr="00ED5BA8">
          <w:rPr>
            <w:rFonts w:ascii="宋体" w:eastAsia="宋体" w:hAnsi="宋体"/>
            <w:sz w:val="28"/>
            <w:szCs w:val="28"/>
          </w:rPr>
          <w:fldChar w:fldCharType="end"/>
        </w:r>
      </w:p>
    </w:sdtContent>
  </w:sdt>
  <w:p w:rsidR="00ED5BA8" w:rsidRDefault="00ED5BA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252476"/>
      <w:docPartObj>
        <w:docPartGallery w:val="Page Numbers (Bottom of Page)"/>
        <w:docPartUnique/>
      </w:docPartObj>
    </w:sdtPr>
    <w:sdtEndPr>
      <w:rPr>
        <w:rFonts w:ascii="宋体" w:eastAsia="宋体" w:hAnsi="宋体"/>
        <w:sz w:val="28"/>
        <w:szCs w:val="28"/>
      </w:rPr>
    </w:sdtEndPr>
    <w:sdtContent>
      <w:p w:rsidR="00ED5BA8" w:rsidRDefault="00ED5BA8">
        <w:pPr>
          <w:pStyle w:val="a5"/>
          <w:jc w:val="right"/>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295964" w:rsidRPr="00295964">
          <w:rPr>
            <w:rFonts w:ascii="宋体" w:eastAsia="宋体" w:hAnsi="宋体"/>
            <w:noProof/>
            <w:sz w:val="28"/>
            <w:szCs w:val="28"/>
            <w:lang w:val="zh-CN"/>
          </w:rPr>
          <w:t>-</w:t>
        </w:r>
        <w:r w:rsidR="00295964">
          <w:rPr>
            <w:rFonts w:ascii="宋体" w:eastAsia="宋体" w:hAnsi="宋体"/>
            <w:noProof/>
            <w:sz w:val="28"/>
            <w:szCs w:val="28"/>
          </w:rPr>
          <w:t xml:space="preserve"> 1 -</w:t>
        </w:r>
        <w:r w:rsidRPr="00ED5BA8">
          <w:rPr>
            <w:rFonts w:ascii="宋体" w:eastAsia="宋体" w:hAnsi="宋体"/>
            <w:sz w:val="28"/>
            <w:szCs w:val="28"/>
          </w:rPr>
          <w:fldChar w:fldCharType="end"/>
        </w:r>
      </w:p>
    </w:sdtContent>
  </w:sdt>
  <w:p w:rsidR="00ED5BA8" w:rsidRDefault="00ED5B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964" w:rsidRDefault="00295964" w:rsidP="00BA3742">
      <w:r>
        <w:separator/>
      </w:r>
    </w:p>
  </w:footnote>
  <w:footnote w:type="continuationSeparator" w:id="0">
    <w:p w:rsidR="00295964" w:rsidRDefault="00295964" w:rsidP="00BA3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A8"/>
    <w:rsid w:val="000A2758"/>
    <w:rsid w:val="000A605A"/>
    <w:rsid w:val="00295964"/>
    <w:rsid w:val="002C55E6"/>
    <w:rsid w:val="00300A1B"/>
    <w:rsid w:val="003C15F5"/>
    <w:rsid w:val="0052566C"/>
    <w:rsid w:val="005A13EF"/>
    <w:rsid w:val="00666176"/>
    <w:rsid w:val="006C6F4F"/>
    <w:rsid w:val="006C6FA8"/>
    <w:rsid w:val="00761923"/>
    <w:rsid w:val="007871F3"/>
    <w:rsid w:val="007B496E"/>
    <w:rsid w:val="00B77968"/>
    <w:rsid w:val="00BA3742"/>
    <w:rsid w:val="00C9481C"/>
    <w:rsid w:val="00D1514E"/>
    <w:rsid w:val="00ED5BA8"/>
    <w:rsid w:val="00F24E04"/>
    <w:rsid w:val="00F51DD1"/>
    <w:rsid w:val="00F64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EA1253-8426-49FD-BC37-EA8C4ADA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6C6FA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BA37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3742"/>
    <w:rPr>
      <w:sz w:val="18"/>
      <w:szCs w:val="18"/>
    </w:rPr>
  </w:style>
  <w:style w:type="paragraph" w:styleId="a5">
    <w:name w:val="footer"/>
    <w:basedOn w:val="a"/>
    <w:link w:val="Char0"/>
    <w:uiPriority w:val="99"/>
    <w:unhideWhenUsed/>
    <w:rsid w:val="00BA3742"/>
    <w:pPr>
      <w:tabs>
        <w:tab w:val="center" w:pos="4153"/>
        <w:tab w:val="right" w:pos="8306"/>
      </w:tabs>
      <w:snapToGrid w:val="0"/>
      <w:jc w:val="left"/>
    </w:pPr>
    <w:rPr>
      <w:sz w:val="18"/>
      <w:szCs w:val="18"/>
    </w:rPr>
  </w:style>
  <w:style w:type="character" w:customStyle="1" w:styleId="Char0">
    <w:name w:val="页脚 Char"/>
    <w:basedOn w:val="a0"/>
    <w:link w:val="a5"/>
    <w:uiPriority w:val="99"/>
    <w:rsid w:val="00BA3742"/>
    <w:rPr>
      <w:sz w:val="18"/>
      <w:szCs w:val="18"/>
    </w:rPr>
  </w:style>
  <w:style w:type="paragraph" w:styleId="a6">
    <w:name w:val="Balloon Text"/>
    <w:basedOn w:val="a"/>
    <w:link w:val="Char1"/>
    <w:uiPriority w:val="99"/>
    <w:semiHidden/>
    <w:unhideWhenUsed/>
    <w:rsid w:val="00F51DD1"/>
    <w:rPr>
      <w:sz w:val="18"/>
      <w:szCs w:val="18"/>
    </w:rPr>
  </w:style>
  <w:style w:type="character" w:customStyle="1" w:styleId="Char1">
    <w:name w:val="批注框文本 Char"/>
    <w:basedOn w:val="a0"/>
    <w:link w:val="a6"/>
    <w:uiPriority w:val="99"/>
    <w:semiHidden/>
    <w:rsid w:val="00F51D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625</Words>
  <Characters>3569</Characters>
  <Application>Microsoft Office Word</Application>
  <DocSecurity>0</DocSecurity>
  <Lines>29</Lines>
  <Paragraphs>8</Paragraphs>
  <ScaleCrop>false</ScaleCrop>
  <Company>P R C</Company>
  <LinksUpToDate>false</LinksUpToDate>
  <CharactersWithSpaces>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2026-05-18T07:26:00Z</cp:lastPrinted>
  <dcterms:created xsi:type="dcterms:W3CDTF">2026-06-24T00:24:00Z</dcterms:created>
  <dcterms:modified xsi:type="dcterms:W3CDTF">2026-06-24T00:24:00Z</dcterms:modified>
</cp:coreProperties>
</file>