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A8" w:rsidRPr="00E35894" w:rsidRDefault="006C6FA8" w:rsidP="006C6FA8">
      <w:pPr>
        <w:spacing w:line="576" w:lineRule="exact"/>
        <w:jc w:val="center"/>
        <w:rPr>
          <w:rFonts w:ascii="方正小标宋简体" w:eastAsia="方正小标宋简体" w:hAnsi="宋体" w:cs="Times New Roman"/>
          <w:spacing w:val="-24"/>
          <w:kern w:val="0"/>
          <w:sz w:val="44"/>
          <w:szCs w:val="44"/>
        </w:rPr>
      </w:pPr>
      <w:bookmarkStart w:id="0" w:name="_GoBack"/>
      <w:bookmarkEnd w:id="0"/>
      <w:r w:rsidRPr="009F2537">
        <w:rPr>
          <w:rFonts w:ascii="方正小标宋简体" w:eastAsia="方正小标宋简体" w:hAnsi="宋体" w:cs="Times New Roman" w:hint="eastAsia"/>
          <w:spacing w:val="-24"/>
          <w:kern w:val="0"/>
          <w:sz w:val="44"/>
          <w:szCs w:val="44"/>
        </w:rPr>
        <w:t>上海市</w:t>
      </w:r>
      <w:r w:rsidR="00EB2918">
        <w:rPr>
          <w:rFonts w:ascii="方正小标宋简体" w:eastAsia="方正小标宋简体" w:hAnsi="宋体" w:cs="Times New Roman" w:hint="eastAsia"/>
          <w:spacing w:val="-24"/>
          <w:kern w:val="0"/>
          <w:sz w:val="44"/>
          <w:szCs w:val="44"/>
        </w:rPr>
        <w:t>长青学校</w:t>
      </w:r>
      <w:r w:rsidR="00BA3FC8">
        <w:rPr>
          <w:rFonts w:ascii="方正小标宋简体" w:eastAsia="方正小标宋简体" w:hAnsi="宋体" w:cs="Times New Roman" w:hint="eastAsia"/>
          <w:spacing w:val="-24"/>
          <w:kern w:val="0"/>
          <w:sz w:val="44"/>
          <w:szCs w:val="44"/>
        </w:rPr>
        <w:t>学校</w:t>
      </w:r>
      <w:r w:rsidRPr="00E35894">
        <w:rPr>
          <w:rFonts w:ascii="方正小标宋简体" w:eastAsia="方正小标宋简体" w:hAnsi="宋体" w:cs="Times New Roman" w:hint="eastAsia"/>
          <w:spacing w:val="-24"/>
          <w:kern w:val="0"/>
          <w:sz w:val="44"/>
          <w:szCs w:val="44"/>
        </w:rPr>
        <w:t>发展性督导评估意见书</w:t>
      </w:r>
    </w:p>
    <w:p w:rsidR="006C6FA8" w:rsidRPr="00D8287C" w:rsidRDefault="006C6FA8" w:rsidP="006C6FA8">
      <w:pPr>
        <w:spacing w:line="576" w:lineRule="exact"/>
        <w:rPr>
          <w:rFonts w:ascii="宋体" w:eastAsia="宋体" w:hAnsi="宋体" w:cs="Times New Roman"/>
          <w:b/>
          <w:spacing w:val="-20"/>
          <w:sz w:val="44"/>
          <w:szCs w:val="44"/>
        </w:rPr>
      </w:pPr>
    </w:p>
    <w:p w:rsidR="00EB2918" w:rsidRPr="00EB2918" w:rsidRDefault="006C6FA8" w:rsidP="00EB2918">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EB2918" w:rsidRPr="00EB2918">
        <w:rPr>
          <w:rFonts w:ascii="仿宋_GB2312" w:eastAsia="仿宋_GB2312" w:hAnsi="仿宋" w:cs="Times New Roman" w:hint="eastAsia"/>
          <w:sz w:val="32"/>
          <w:szCs w:val="32"/>
        </w:rPr>
        <w:t>全面贯彻落实党的教育方针和立德树人教育根本任务，深化新时代义务教育阶段学校发展性督导评价改革，推进区域义务教育优质均衡发展，2026年5月12日至13日，上海市虹口区人民政府教育督导室、虹口区教育督导事务中心依据“虹口区义务教育阶段发展性督导评价实施方案”，组织专家组对上海市长青学校第六轮（2021年-2025年）学校发展规划实施情况进行终期督导评估。</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专家组认真听取了学校领导关于学校规划和发展的终期自评报告，查阅了学校近年来实施规划过程的文本资料。专家组成员就学校治理与发展、课程教学、队伍建设与资源保障、学生发展等方面的进展情况进行了全面评估。督导评估过程中，专家组深入实地，全面考察，共访谈校领导、教师及相关人员54人次，分别召开了班主任、教师、学生、社区及家长代表座谈会，共有55人参加；听课19节，发放教师问卷69份、学生问卷313份（完成率89.6%）、家长问卷293份（完成率81.8%）、社区问卷20份，查阅资料84份。专家组成员察看了校园环境，实地了解教育教学设施设备使用情况。专家组对采集的信息进行了整理、汇总、分析，并及时与学校领导沟通信息、交换意见。</w:t>
      </w:r>
    </w:p>
    <w:p w:rsidR="00EB2918" w:rsidRPr="00EB2918" w:rsidRDefault="00EB2918" w:rsidP="00EB2918">
      <w:pPr>
        <w:spacing w:line="576" w:lineRule="exact"/>
        <w:ind w:firstLineChars="200" w:firstLine="640"/>
        <w:rPr>
          <w:rFonts w:ascii="黑体" w:eastAsia="黑体" w:hAnsi="黑体" w:cs="Times New Roman"/>
          <w:sz w:val="32"/>
          <w:szCs w:val="32"/>
        </w:rPr>
      </w:pPr>
      <w:r w:rsidRPr="00EB2918">
        <w:rPr>
          <w:rFonts w:ascii="黑体" w:eastAsia="黑体" w:hAnsi="黑体" w:cs="Times New Roman" w:hint="eastAsia"/>
          <w:sz w:val="32"/>
          <w:szCs w:val="32"/>
        </w:rPr>
        <w:t>一、总体评价</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专家组认为上海市长青学校是一所29年办学历史的九</w:t>
      </w:r>
      <w:r w:rsidRPr="00EB2918">
        <w:rPr>
          <w:rFonts w:ascii="仿宋_GB2312" w:eastAsia="仿宋_GB2312" w:hAnsi="仿宋" w:cs="Times New Roman" w:hint="eastAsia"/>
          <w:sz w:val="32"/>
          <w:szCs w:val="32"/>
        </w:rPr>
        <w:lastRenderedPageBreak/>
        <w:t>年一贯制学校，坚守“蒙以养正，生命长青——为学生一生发展奠基”的办学理念，涵养“团结、勤奋、求实、创新”的优良校风与“求真知、探真理、做真人”的学风，注重文化积淀、育人定位清晰。学校严格落实党组织领导的校长负责制，完善内部治理架构，主动担当课改使命，持续优化课程体系，探索教育数字化转型，扎实推进五育并举，构建三位一体德育实践体系，着力培育综合素养全面的新时代青少年。学校师资结构合理、师德优良，具备完善的专业发展保障体系。在一校三址、资源受限的过渡办学困境下，全校上下凝心聚力、攻坚克难，凭借清晰的发展目标与务实举措，形成“文化有根、治理有方、课改有质、队伍有为、发展有势”的良好办学态势，育人成效获得师生、家长及社区充分肯定，为新校区启用后实现规模化、标准化、现代化高质量长效发展夯实了坚实根基。</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专家组认为学校的规划匹配程度好，规划目标达成度高。</w:t>
      </w:r>
    </w:p>
    <w:p w:rsidR="00EB2918" w:rsidRPr="00EB2918" w:rsidRDefault="00EB2918" w:rsidP="00EB2918">
      <w:pPr>
        <w:spacing w:line="576" w:lineRule="exact"/>
        <w:ind w:firstLineChars="200" w:firstLine="640"/>
        <w:rPr>
          <w:rFonts w:ascii="黑体" w:eastAsia="黑体" w:hAnsi="黑体" w:cs="Times New Roman"/>
          <w:sz w:val="32"/>
          <w:szCs w:val="32"/>
        </w:rPr>
      </w:pPr>
      <w:r w:rsidRPr="00EB2918">
        <w:rPr>
          <w:rFonts w:ascii="黑体" w:eastAsia="黑体" w:hAnsi="黑体" w:cs="Times New Roman" w:hint="eastAsia"/>
          <w:sz w:val="32"/>
          <w:szCs w:val="32"/>
        </w:rPr>
        <w:t>二、成绩与经验</w:t>
      </w:r>
    </w:p>
    <w:p w:rsidR="00EB2918" w:rsidRPr="00EB2918" w:rsidRDefault="00EB2918" w:rsidP="00EB2918">
      <w:pPr>
        <w:spacing w:line="576" w:lineRule="exact"/>
        <w:ind w:firstLineChars="200" w:firstLine="640"/>
        <w:rPr>
          <w:rFonts w:ascii="楷体_GB2312" w:eastAsia="楷体_GB2312" w:hAnsi="仿宋" w:cs="Times New Roman"/>
          <w:sz w:val="32"/>
          <w:szCs w:val="32"/>
        </w:rPr>
      </w:pPr>
      <w:r w:rsidRPr="00EB2918">
        <w:rPr>
          <w:rFonts w:ascii="楷体_GB2312" w:eastAsia="楷体_GB2312" w:hAnsi="仿宋" w:cs="Times New Roman" w:hint="eastAsia"/>
          <w:sz w:val="32"/>
          <w:szCs w:val="32"/>
        </w:rPr>
        <w:t>（一）学校治理与发展</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1.深化党建引领，筑牢立德树人根基</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全面落实党组织领导的校长负责制，严格执行“三重一大”决策制度，党务、校务公开率达100%。创建“红色行走”“青听宣讲”等特色党建品牌，构建党团队一体化育人链条，实现党建工作与教育教学深度融合。学校荣获上海市中小学校党建工作“特色学校”培育创建单位、上海市党支部建设示范点等称号，充分彰显党组织政治核心与引领示范作用。坚守立德树人根本任务，构建“一根本·一抓手·一品牌·六育人·N活动”的德育体系。以“长青藤”四色行走课程为品牌，创新“行走+思政+学科”的育人模式，并将理想信念、核心价值观教育融入其中，使德育工作有抓手、有载体、有实效。</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2.完善治理体系，构建高效管理机制</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持续优化治理体系，健全管理运行机制，稳步提升办学治理水平。一是抓实规划闭环管理。建立学校“十四五”发展规划的年度自评、中期评估常态化机制，形成“规划-实施-评价”闭环管理模式，规划整体达成度较高。二是深化改革赋能管理。系统梳理制度规范，汇编近180项制度形成《学校管理手册》，构建制度、共育、安全“三位一体”治理体系，推动办学管理规范化、制度化。通过干部队伍调整、绩效工资改革、课程教学改进三大举措，激发学校办学活力。针对一校三区过渡期办学实际，学校凝聚党政合力，充分激活教职工主人翁意识，平稳统筹各项工作，获得上级肯定。三是强化协同治理模式。依托教联体，创新“五行走”家校社共育模式。家校沟通满意度达97.3%，社区对学校办学满意度达94%。</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3.推进数字化转型，驱动治理模式变革</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积极推进智慧校园数字化转型，初步建成覆盖“教、学、评、管”的智慧校园架构，学业质量分析、AI课堂分析、体质健康管理等模块已落地应用。同时，学校以科研赋能数字化改革，依托区级重点课题《应用AI技术辅助构建发展性课堂教学评价的循证研究》，推动教学评价数字化转型。尤其在AI课堂分析领域，从1.0版本的行为量化分析升级至2.0版本的语义解码，体现了课堂教学评价从“经验”走向“循证”的积极探索。数字化转型的推进，为学校从传统经验型管理向科学化、数据驱动型现代化治理转型积累了实践经验、筑牢了发展基础。</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4.坚持优质办学，彰显示范辐射效能</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坚持质量立校、品牌兴校，办学口碑优良，社会认可度与办学美誉度高。学校作为原北外滩教育联盟核心校和现华师大一附中教育集团重要成员校，充分依托集团化办学与区域教育联盟发挥积极作用，开展资源共享、教师流动、联合教研等工作，有效助力区域教育优质均衡发展。同时，学校还积极履行教育的社会责任，与云南、福建等地学校建立结对共建机制，开展跨区域教育帮扶。问卷数据显示，100%社区受访者认为学校校风、学风及育人环境和教育教学质量好，近98.2%家长对学校整体教育管理水平非常满意，学校赢得了极高的社会声誉和群众口碑，社会影响力持续提升。</w:t>
      </w:r>
    </w:p>
    <w:p w:rsidR="00EB2918" w:rsidRPr="00EB2918" w:rsidRDefault="00EB2918" w:rsidP="00EB2918">
      <w:pPr>
        <w:spacing w:line="576" w:lineRule="exact"/>
        <w:ind w:firstLineChars="200" w:firstLine="640"/>
        <w:rPr>
          <w:rFonts w:ascii="楷体_GB2312" w:eastAsia="楷体_GB2312" w:hAnsi="仿宋" w:cs="Times New Roman"/>
          <w:sz w:val="32"/>
          <w:szCs w:val="32"/>
        </w:rPr>
      </w:pPr>
      <w:r w:rsidRPr="00EB2918">
        <w:rPr>
          <w:rFonts w:ascii="楷体_GB2312" w:eastAsia="楷体_GB2312" w:hAnsi="仿宋" w:cs="Times New Roman" w:hint="eastAsia"/>
          <w:sz w:val="32"/>
          <w:szCs w:val="32"/>
        </w:rPr>
        <w:t>（二）课程教学</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1.优化课程顶层设计，构建五育融合课程体系</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严格对标国家义务教育课程方案与课程标准，全面开足开齐开好国家课程。依托“虹课优学”试点校优势，迭代升级“新童蒙”校本课程体系，科学编制《上海市长青学校课程方案》，完善“1+X”课程架构，推动多学科《学科课程纲要》落地，实现国家、地方、校本三类课程有机融合。学校建立36项教学管理制度，常态化编制《课程实施与教学改进年度报告》，形成课程实施、监测、优化的闭环机制。依托九年一贯办学优势，打造“长·课程”“青·课程”双育人路径，兼顾学生贯通培养与阶段性成长需求，满足各阶段各层面学生的个性化发展。构建“长青藤”行走特色课程，盘活校内外育人资源，探索搭建全域育人课程体系。学校系统化课程体系建设为五育融合落地、学生核心素养培育筑牢核心载体。</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2.深耕课堂教学变革，探索高效课堂范式</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紧扣基础教育“双新”改革要求，以课堂为主阵地深化教学革新，构建多维度学科德育实施路径，实现知识传授与价值引领深度融合。常态化开展“长青杯”教学比武，并依托AI课堂分析系统，进行教研组内随堂课每月一诊断，提炼出“激活兴趣、激活思维、激活能力”的“长青好课”核心标准，有效破解传统课堂教学痛点，推动课堂从知识本位向素养本位转型。常态化教研改革取得成效，学校教师在市区各级教学评比、说课竞赛中屡获佳绩，2024年学业质量绿色指标评价显示，学生道德素养、高层次思维能力、创新素养均高于市区平均水平。</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3.深化作业改革提质，落实双减增效目标</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依托上海市高质量作业体系建设基地校平台，由校长领衔中学英语学科项目组，聚焦“单元视角下综合实践作业设计与实施”开展市级专项研究，形成可复制、可推广的作业设计路径与实施策略，并带动其他学科同步跟进，逐步形成“市级引领、校级推进、学科全覆盖”的作业改革格局。探索分层推进基础性、拓展性、实践性三类作业体系建设，已实现三至九年级校本作业全覆盖。作业改革成果丰硕，化学学科、数学学科荣获上海市中小学优秀单元作业案例设计大赛一等奖；5篇案例入选《虹口区优秀单元作业设计案例集》。学校以作业改革推动课堂提质增效，提升育人质量。问卷显示，超过82%的家长反馈孩子回家书面作业时间在1小时以内，“双减”政策得到有效落实。</w:t>
      </w:r>
    </w:p>
    <w:p w:rsidR="00EB2918" w:rsidRPr="00EB2918" w:rsidRDefault="00EB2918" w:rsidP="00EB2918">
      <w:pPr>
        <w:spacing w:line="576" w:lineRule="exact"/>
        <w:ind w:firstLineChars="200" w:firstLine="640"/>
        <w:rPr>
          <w:rFonts w:ascii="楷体_GB2312" w:eastAsia="楷体_GB2312" w:hAnsi="仿宋" w:cs="Times New Roman"/>
          <w:sz w:val="32"/>
          <w:szCs w:val="32"/>
        </w:rPr>
      </w:pPr>
      <w:r w:rsidRPr="00EB2918">
        <w:rPr>
          <w:rFonts w:ascii="楷体_GB2312" w:eastAsia="楷体_GB2312" w:hAnsi="仿宋" w:cs="Times New Roman" w:hint="eastAsia"/>
          <w:sz w:val="32"/>
          <w:szCs w:val="32"/>
        </w:rPr>
        <w:t>（三）队伍建设与资源保障</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1.完善师资培育体系，赋能教师专业成长</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构建“四级成长通道”与教研训一体化机制。以“长青杯”教学评比、AI循证教研为抓手，搭建名师工作室、研修工作坊等平台，推动教师专业能力稳步提升，教师在校任职15年以上的占52.38%。问卷数据显示，94.56%的教师对培训、教研等专业支持表示满意；82.31%的教师认可教师梯队培养体系实效。学校重视师德师风机制建设，91.84%教师认为师德教育与激励机制成效良好，98.02%的学生认可教师关爱全体学生、无歧视行为，学校逐步形成一支有理想、有担当、有活力的“长青良师”队伍，为学校高质量发展提供核心支撑。</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2.统筹盘活校内外资源，确保过渡期办学质量</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三年来，学校面对一校三址过渡办学，在资源分散、空间受限的情况下，通过统筹调配、集约使用，实现了资源高效运转。对标上海市义务教育装备标准，学校在校舍、设备、实验室、资产与财务管理等方面均规范达标，普通教室多媒体全覆盖，校园无线网络无死角，各类场馆满足教育教学需求，资产完好率超98%。同时，学校充分立足北外滩地域优势，主动链接各类校外优质资源，深度整合社区资源，建立5个固定校外实践基地，常态化开展馆校课程、行走研学、校社共建活动，近三年校外活动超50场，参与学生达1200人次，弥补了校内空间短板，有效助力五育融合落地，学生、家长满意度分别 94.45%和98.19%，实现了一校三址过渡期办学“质量不降、特色不减、发展不停”。</w:t>
      </w:r>
    </w:p>
    <w:p w:rsidR="00EB2918" w:rsidRPr="00EB2918" w:rsidRDefault="00EB2918" w:rsidP="00EB2918">
      <w:pPr>
        <w:spacing w:line="576" w:lineRule="exact"/>
        <w:ind w:firstLineChars="200" w:firstLine="640"/>
        <w:rPr>
          <w:rFonts w:ascii="楷体_GB2312" w:eastAsia="楷体_GB2312" w:hAnsi="仿宋" w:cs="Times New Roman"/>
          <w:sz w:val="32"/>
          <w:szCs w:val="32"/>
        </w:rPr>
      </w:pPr>
      <w:r w:rsidRPr="00EB2918">
        <w:rPr>
          <w:rFonts w:ascii="楷体_GB2312" w:eastAsia="楷体_GB2312" w:hAnsi="仿宋" w:cs="Times New Roman" w:hint="eastAsia"/>
          <w:sz w:val="32"/>
          <w:szCs w:val="32"/>
        </w:rPr>
        <w:t>（四）学生发展</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1.德育为先，涵养校园育人生态</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以“团结、勤奋、求实、创新”为价值引领，探索形成“学科渗透”“跨学科融合”“项目化学习”“综合实践活动”“行走课程”和“成长系列德育课程”等品行培养实施路径，将品行养成、价值塑造融入学校教育教学全过程，为搭建“理想信念—核心价值观—传统文化”三位一体德育实践体系提供有力支撑。学生座谈中，多名学生表现出团结协作、奉献社会的价值追求，德育浸润显现成效。问卷数据显示，家长对“您对孩子在校品德行为、文明习惯、劳动习惯的满意程度”的满意度为98.48%，表明家长十分认同学校的育人生态。教师对“您对学校践行‘立德树人’教育根本任务的评价”的好评率为94.56%，表明教师对学校“立德树人”教育实践的认同。</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2.素养导向，促进学生全面发展</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坚守素养导向育人理念，出台德育、体育、美育、劳动教育、科技教育专项实施方案，系统化推进五育融合落地；提出“YUE动长青”美育实施策略，融合音乐、阅读、体育、心理健康多元维度；定时开设多元化特色学生社团活动，精准适配学生个性化发展需求，全方位涵养学生审美与身心素养。品牌项目成果丰硕，少儿歌舞剧项目荣获全国中小学生艺术展演一等奖，学校舞蹈队成为区域美育特色名片，武术队获评上海市青少年高水平运动队（武术套路），朗诵作品《红旗的一角》斩获上海市一等奖、全国三等奖，学校获评全国美育示范校。学校全方位的育人体系推动学生学业质量与综合素养双向提升，学业核心指标持续优于市区平均水平，艺术素养、高层次思维能力、体质健康、心理健康指标均高于市区平均。问卷数据显示，98.64%的家长认可学校全方位育人体系的覆盖面与实效性；100% 社区受访者对“学校重视德育、开展社会实践与志愿服务活动情况”予以充分肯定。可见学校五育并举育人成效获得高度认可。</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3.贯通培育，激发科创探究潜能</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学校立足九年一贯制办学优势，以“生长的好奇心”为核心理念，探索构建九年贯通式科创教育体系，打造“一课一节一贯通”特色育人框架，以一份科学课程实施方案统筹全学段科学教学，以一年一度的科技文化节为载体推进课程实施，通过专题讲座、博物馆研学、创意创作等系列活动，构建“沉浸、体验、创造”的科创实践模式，让科创氛围浸润校园，实现学生科学素养持续进阶。同时开展馆校合作，聘请行业专家担任科学副校长，引入高端科普资源，提升科学教育的专业性，打造馆校协同育人品牌。学校荣获虹口区科技领航校、少年科学院人工智能分院基地学校、虹口区科技创新人才培育基地、上海市少年儿童科普教育示范单位等称号。学生科学学业标准达成度高于区平均2个百分点、市3.2个百分点，学生屡获各级各类科创类奖项。在校园各场所对于学生的吸引力的问卷调查中，学生对于实验室兴趣几乎与体育场馆持平，充分表明学生科学素养及科学探究兴趣显著提升，学校科学教育、科创启蒙成效初步显现，为学生科学素养长效发展打下基础。</w:t>
      </w:r>
    </w:p>
    <w:p w:rsidR="00EB2918" w:rsidRPr="00EB2918" w:rsidRDefault="00EB2918" w:rsidP="00EB2918">
      <w:pPr>
        <w:spacing w:line="576" w:lineRule="exact"/>
        <w:ind w:firstLineChars="200" w:firstLine="640"/>
        <w:rPr>
          <w:rFonts w:ascii="黑体" w:eastAsia="黑体" w:hAnsi="黑体" w:cs="Times New Roman"/>
          <w:sz w:val="32"/>
          <w:szCs w:val="32"/>
        </w:rPr>
      </w:pPr>
      <w:r w:rsidRPr="00EB2918">
        <w:rPr>
          <w:rFonts w:ascii="黑体" w:eastAsia="黑体" w:hAnsi="黑体" w:cs="Times New Roman" w:hint="eastAsia"/>
          <w:sz w:val="32"/>
          <w:szCs w:val="32"/>
        </w:rPr>
        <w:t>三、问题与建议</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问题1：学校办学顶层设计有待优化，学校九年一贯制办学优势有待进一步挖掘。学校现有办学价值体系、发展目标的前瞻性与辨识度还不足，难以适配新校区规模化、现代化、高品质的办学定位。小学与初中学段在课程衔接、教研联动、学生评价等方面未形成全学段一体化体系，难以完全适应未来新校区规模化、现代化的办学需求。</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建议：一是抓住学校“十五五”期间发展规划的修订和新校舍启用的契机，系统审视学校价值系统，提炼优化办学理念、育人目标等校园文化体系，打造高辨识度、符合学段特点，契合区域教育定位的学校精神内核。二是以“构建现代化九年一贯制名校”为目标，前瞻性规划新校区治理架构，构建问题导向、目标管理、项目推进、过程管控、闭环考核的九年一贯制一体化运行机制，真正将一贯制优势转化为育人效能，打造贯通育人经典案例，形成贯通育人长青方案。三是着眼环境育人功能的最大化，提前系统设计新校舍文化环境。通过空间布局的合理定位、育人功能的有效开发和精神文化的整体营建，使校园的建筑风格、人文环境、办学特色、精神追求协调融合，使学校有限的物理空间具有丰富广阔的文化想象，成为文化氛围浓郁、促进师生身心愉悦共同发展的精神家园。</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问题2：学校科技教育特色活动丰富多彩，也有基于九年贯通的思考和实践，但基于九年一贯制结构化设计的整体性和递进性仍显不足。</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建议：一是总结科技教育已有成效，基于学校比较完备的科技教育图谱，进一步加强顶层设计，把图谱细化为科技教育特色发展专项规划。二是根据义务教育阶段学生发展的顺序性、阶段性、差异性、不均衡性的特征，明晰科技教育的创建目标、内容、实施及评价。贯通教育要体现专业性，做到价值追求一致，培养目标递进，培养途径连贯，培养方法多样。三是要确立科技教育重点发展和一般发展项目，设计九年一贯的总目标和分段目标、推进路径、分阶段实施措施、教学策略、资源配置和标志性成果等，结合项目化和跨学科学习，着重探索科技特色培养学生核心素养及早期培育拔尖创新人才的路径。</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问题3：“长青好课”建设精细化不足，“好课”的课堂范式尚未成型。学校聚焦“长青好课”推进课堂教学改革，明确“三大激活”核心建设标准，但整体实施路径粗放，评价观测点不够细化、落地性不强。教研组、备课组教研活动中针对“长青好课”建设的主题化、精准化深度研讨不足。</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建议：一是细化“长青好课”实施路径与评价体系，结合学科核心素养与新课标要求，将三大激活标准拆解为可观测、可落实、可评价的具体课堂行为，优化课堂评价观测点，实现随堂课、公开课、研讨课全覆盖。二是强化教研赋能，将“长青好课”建设纳入各教研组、备课组常态化核心教研主题，开展深度研讨，推动课堂改革常态化、精细化开展。三是建立课堂建设与教师发展联动机制，提炼“长青好老师”核心标准，实现好课标准、教师素养、教研提质有机融合，以精细化课堂改革推动学校教学质量的整体提升。</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问题4：学校已搭建智慧校园基础架构，并引入了AI课堂分析系统等先进工具用于教学管理，但技术与学科教学的实际适配度不高，导致部分教师使用意愿偏低。数据的采集、分析与教学改进之间尚未形成自动高效、人人参与的常态闭环，数据赋能的价值未能最大化。绿色指标测试显示：学生ICT素养、学校数字化支持都低于市区平均。</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建议：一是积极顺应新时代教育改革的发展趋势，从变革育人方式的视角推进教育数字化转型。积极开展“智慧化的学习环境、建构性的教学新范式、泛在的体验性学习方式、数据驱动的教育评价”等方面研究、探索和实践，打造实施“大规模因材施教”的数字化校园新样态。二是聚焦应用场景，提升技术适配性。以教研组为单位，开展“技术如何服务本学科”的专题研修，将AI分析等工具与学科核心素养、课堂教学关键问题相结合，开发更贴合教师需求的评价指标和应用模板，变“用技术评课”为“用技术改进课”，构建“人机协同”的数据驱动生态。三是完善基于大数据的学生学业质量精准诊断与个性化学习指导系统，将作业数据、课堂表现数据与过程性评价数据关联，形成学生数字画像。指导教</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师学会解读数据、利用数据，将分析结果转化为具体的教学策略和辅导行动，真正实现“以学定教”，为学生认知水平、情感能力提升提供精准服务和个性化教育。</w:t>
      </w:r>
    </w:p>
    <w:p w:rsidR="00EB2918" w:rsidRPr="00EB2918" w:rsidRDefault="00EB2918" w:rsidP="00EB2918">
      <w:pPr>
        <w:spacing w:line="576" w:lineRule="exact"/>
        <w:ind w:firstLineChars="200" w:firstLine="640"/>
        <w:rPr>
          <w:rFonts w:ascii="仿宋_GB2312" w:eastAsia="仿宋_GB2312" w:hAnsi="仿宋" w:cs="Times New Roman"/>
          <w:sz w:val="32"/>
          <w:szCs w:val="32"/>
        </w:rPr>
      </w:pPr>
      <w:r w:rsidRPr="00EB2918">
        <w:rPr>
          <w:rFonts w:ascii="仿宋_GB2312" w:eastAsia="仿宋_GB2312" w:hAnsi="仿宋" w:cs="Times New Roman" w:hint="eastAsia"/>
          <w:sz w:val="32"/>
          <w:szCs w:val="32"/>
        </w:rPr>
        <w:t>问题5：骨干教师引领效能有待提升，队伍数字素养尚需跃迁。学校现有教师144人，其中高级教师21人、区骨干教师6人、区教学能手 19 人，教师队伍结构总体合理，但作为公办头部学校，高层次名优教师数量偏少，仅1名市学科中心组专家、1名区讲席名师，骨干教师示范辐射、跨学段协同作用发挥不够充分。</w:t>
      </w:r>
    </w:p>
    <w:p w:rsidR="00C9481C" w:rsidRDefault="00EB2918" w:rsidP="00EB2918">
      <w:pPr>
        <w:spacing w:line="576" w:lineRule="exact"/>
        <w:ind w:firstLineChars="200" w:firstLine="640"/>
      </w:pPr>
      <w:r w:rsidRPr="00EB2918">
        <w:rPr>
          <w:rFonts w:ascii="仿宋_GB2312" w:eastAsia="仿宋_GB2312" w:hAnsi="仿宋" w:cs="Times New Roman" w:hint="eastAsia"/>
          <w:sz w:val="32"/>
          <w:szCs w:val="32"/>
        </w:rPr>
        <w:t>建议：立足学校新一轮五年发展规划，系统化、梯队化推进教师队伍提质培优，提升骨干师资引领效能。一是持续深化“青蓝工程”精准带教机制，并针对青年教师、骨干教师、名优教师实施分层分类培养，细化阶梯式成长目标、培训路径与考核标准，推动青年教师快速成长、骨干教师提档升级。二是强化名优师资培育，壮大高端引领力量，坚持内部培育与外部引育双向发力，制定高层次名优教师培养计划，搭建评优参赛、课题攻坚、专项研修、外出交流等成长平台，主动挖掘、重点培育潜力骨干，持续壮大名优教师队伍。三是常态化搭建名师工作室、跨学段教研共同体等研修平台，推动骨干教师牵头领衔课题研究、课堂改革、课程开发、校本研修等核心工作，充分发挥名优骨干的示范、辐射、带动作用，引领并推动师资队伍专业能力的跃升，为新校区高质量发展提供充足的人才支撑。</w:t>
      </w:r>
    </w:p>
    <w:sectPr w:rsidR="00C9481C"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40C" w:rsidRDefault="00A0740C" w:rsidP="00BA3742">
      <w:r>
        <w:separator/>
      </w:r>
    </w:p>
  </w:endnote>
  <w:endnote w:type="continuationSeparator" w:id="0">
    <w:p w:rsidR="00A0740C" w:rsidRDefault="00A0740C"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8E0F30" w:rsidRPr="008E0F30">
          <w:rPr>
            <w:rFonts w:ascii="宋体" w:eastAsia="宋体" w:hAnsi="宋体"/>
            <w:noProof/>
            <w:sz w:val="28"/>
            <w:szCs w:val="28"/>
            <w:lang w:val="zh-CN"/>
          </w:rPr>
          <w:t>-</w:t>
        </w:r>
        <w:r w:rsidR="008E0F30">
          <w:rPr>
            <w:rFonts w:ascii="宋体" w:eastAsia="宋体" w:hAnsi="宋体"/>
            <w:noProof/>
            <w:sz w:val="28"/>
            <w:szCs w:val="28"/>
          </w:rPr>
          <w:t xml:space="preserve"> 12 -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A0740C" w:rsidRPr="00A0740C">
          <w:rPr>
            <w:rFonts w:ascii="宋体" w:eastAsia="宋体" w:hAnsi="宋体"/>
            <w:noProof/>
            <w:sz w:val="28"/>
            <w:szCs w:val="28"/>
            <w:lang w:val="zh-CN"/>
          </w:rPr>
          <w:t>-</w:t>
        </w:r>
        <w:r w:rsidR="00A0740C">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40C" w:rsidRDefault="00A0740C" w:rsidP="00BA3742">
      <w:r>
        <w:separator/>
      </w:r>
    </w:p>
  </w:footnote>
  <w:footnote w:type="continuationSeparator" w:id="0">
    <w:p w:rsidR="00A0740C" w:rsidRDefault="00A0740C"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A2758"/>
    <w:rsid w:val="000A605A"/>
    <w:rsid w:val="005A384D"/>
    <w:rsid w:val="00666176"/>
    <w:rsid w:val="006C6FA8"/>
    <w:rsid w:val="008D4BC7"/>
    <w:rsid w:val="008E0F30"/>
    <w:rsid w:val="00A0740C"/>
    <w:rsid w:val="00A95769"/>
    <w:rsid w:val="00B77968"/>
    <w:rsid w:val="00BA3742"/>
    <w:rsid w:val="00BA3FC8"/>
    <w:rsid w:val="00C9481C"/>
    <w:rsid w:val="00E15720"/>
    <w:rsid w:val="00EB2918"/>
    <w:rsid w:val="00ED5BA8"/>
    <w:rsid w:val="00F51DD1"/>
    <w:rsid w:val="00F92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1063</Words>
  <Characters>6060</Characters>
  <Application>Microsoft Office Word</Application>
  <DocSecurity>0</DocSecurity>
  <Lines>50</Lines>
  <Paragraphs>14</Paragraphs>
  <ScaleCrop>false</ScaleCrop>
  <Company>P R C</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2026-06-18T05:54:00Z</cp:lastPrinted>
  <dcterms:created xsi:type="dcterms:W3CDTF">2026-06-24T00:19:00Z</dcterms:created>
  <dcterms:modified xsi:type="dcterms:W3CDTF">2026-06-24T00:19:00Z</dcterms:modified>
</cp:coreProperties>
</file>