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FB6" w:rsidRDefault="005A3F56" w:rsidP="002B2FB6">
      <w:pPr>
        <w:spacing w:line="576" w:lineRule="exact"/>
        <w:jc w:val="center"/>
        <w:rPr>
          <w:rFonts w:ascii="方正小标宋简体" w:eastAsia="方正小标宋简体" w:hAnsi="宋体" w:cs="Times New Roman"/>
          <w:spacing w:val="-24"/>
          <w:kern w:val="0"/>
          <w:sz w:val="44"/>
          <w:szCs w:val="44"/>
        </w:rPr>
      </w:pPr>
      <w:bookmarkStart w:id="0" w:name="_GoBack"/>
      <w:bookmarkEnd w:id="0"/>
      <w:r w:rsidRPr="005A3F56">
        <w:rPr>
          <w:rFonts w:ascii="方正小标宋简体" w:eastAsia="方正小标宋简体" w:hAnsi="宋体" w:cs="Times New Roman" w:hint="eastAsia"/>
          <w:spacing w:val="-24"/>
          <w:kern w:val="0"/>
          <w:sz w:val="44"/>
          <w:szCs w:val="44"/>
        </w:rPr>
        <w:t>虹口区</w:t>
      </w:r>
      <w:r w:rsidR="00702C6B" w:rsidRPr="00702C6B">
        <w:rPr>
          <w:rFonts w:ascii="方正小标宋简体" w:eastAsia="方正小标宋简体" w:hAnsi="宋体" w:cs="Times New Roman" w:hint="eastAsia"/>
          <w:spacing w:val="-24"/>
          <w:kern w:val="0"/>
          <w:sz w:val="44"/>
          <w:szCs w:val="44"/>
        </w:rPr>
        <w:t>外国语第二小学</w:t>
      </w:r>
      <w:r w:rsidR="00BA3FC8">
        <w:rPr>
          <w:rFonts w:ascii="方正小标宋简体" w:eastAsia="方正小标宋简体" w:hAnsi="宋体" w:cs="Times New Roman" w:hint="eastAsia"/>
          <w:spacing w:val="-24"/>
          <w:kern w:val="0"/>
          <w:sz w:val="44"/>
          <w:szCs w:val="44"/>
        </w:rPr>
        <w:t>学校</w:t>
      </w:r>
      <w:r w:rsidR="006C6FA8" w:rsidRPr="00E35894">
        <w:rPr>
          <w:rFonts w:ascii="方正小标宋简体" w:eastAsia="方正小标宋简体" w:hAnsi="宋体" w:cs="Times New Roman" w:hint="eastAsia"/>
          <w:spacing w:val="-24"/>
          <w:kern w:val="0"/>
          <w:sz w:val="44"/>
          <w:szCs w:val="44"/>
        </w:rPr>
        <w:t>发展性</w:t>
      </w:r>
    </w:p>
    <w:p w:rsidR="006C6FA8" w:rsidRPr="00E35894" w:rsidRDefault="006C6FA8" w:rsidP="002B2FB6">
      <w:pPr>
        <w:spacing w:line="576" w:lineRule="exact"/>
        <w:jc w:val="center"/>
        <w:rPr>
          <w:rFonts w:ascii="方正小标宋简体" w:eastAsia="方正小标宋简体" w:hAnsi="宋体" w:cs="Times New Roman"/>
          <w:spacing w:val="-24"/>
          <w:kern w:val="0"/>
          <w:sz w:val="44"/>
          <w:szCs w:val="44"/>
        </w:rPr>
      </w:pPr>
      <w:r w:rsidRPr="00E35894">
        <w:rPr>
          <w:rFonts w:ascii="方正小标宋简体" w:eastAsia="方正小标宋简体" w:hAnsi="宋体" w:cs="Times New Roman" w:hint="eastAsia"/>
          <w:spacing w:val="-24"/>
          <w:kern w:val="0"/>
          <w:sz w:val="44"/>
          <w:szCs w:val="44"/>
        </w:rPr>
        <w:t>督导评估意见书</w:t>
      </w:r>
    </w:p>
    <w:p w:rsidR="006C6FA8" w:rsidRPr="00D8287C" w:rsidRDefault="006C6FA8" w:rsidP="005A3F56">
      <w:pPr>
        <w:spacing w:line="420" w:lineRule="exact"/>
        <w:rPr>
          <w:rFonts w:ascii="宋体" w:eastAsia="宋体" w:hAnsi="宋体" w:cs="Times New Roman"/>
          <w:b/>
          <w:spacing w:val="-20"/>
          <w:sz w:val="44"/>
          <w:szCs w:val="44"/>
        </w:rPr>
      </w:pPr>
    </w:p>
    <w:p w:rsidR="00702C6B" w:rsidRPr="00702C6B" w:rsidRDefault="006C6FA8" w:rsidP="00702C6B">
      <w:pPr>
        <w:spacing w:line="576" w:lineRule="exact"/>
        <w:ind w:firstLineChars="200" w:firstLine="640"/>
        <w:rPr>
          <w:rFonts w:ascii="仿宋_GB2312" w:eastAsia="仿宋_GB2312" w:hAnsi="仿宋" w:cs="Times New Roman"/>
          <w:sz w:val="32"/>
          <w:szCs w:val="32"/>
        </w:rPr>
      </w:pPr>
      <w:r w:rsidRPr="006C6FA8">
        <w:rPr>
          <w:rFonts w:ascii="仿宋_GB2312" w:eastAsia="仿宋_GB2312" w:hAnsi="仿宋" w:cs="Times New Roman" w:hint="eastAsia"/>
          <w:sz w:val="32"/>
          <w:szCs w:val="32"/>
        </w:rPr>
        <w:t>为</w:t>
      </w:r>
      <w:r w:rsidR="00702C6B" w:rsidRPr="00702C6B">
        <w:rPr>
          <w:rFonts w:ascii="仿宋_GB2312" w:eastAsia="仿宋_GB2312" w:hAnsi="仿宋" w:cs="Times New Roman" w:hint="eastAsia"/>
          <w:sz w:val="32"/>
          <w:szCs w:val="32"/>
        </w:rPr>
        <w:t>全面贯彻党的教育方针和落实立德树人教育根本任务，深化新时代义务教育阶段学校发展性督导评价改革，推进义务教育优质均衡发展，2026年5月7-8日，上海市虹口区人民政府教育督导室、虹口区教育督导事务中心依据“虹口区义务教育阶段学校发展性督导评价实施方案”，组织评估组对上海市虹口区外国语第二小学五年自主发展规划（2021年—2026年）实施情况进行督导评估。</w:t>
      </w:r>
    </w:p>
    <w:p w:rsid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评估组认真听取了潘俊卿副校长（主持工作）关于学校规划实施情况的终结性自评报告，查阅了学校五年来实施规划过程的文本资料177份。评估组成员就学校治理、课程教学、队伍建设、资源保障、学生发展、学校发展等方面的进展情况开展了全面评估。督导评估过程中，评估组深入实地，全面考察，共访谈校领导、教师及相关人员57人次，分别召开了班主任、教师、学生、社区及家长代表座谈会，共有64人参加。听课16节。发放教师问卷57份、学生问卷221份、家长问卷408份、社区问卷22份。此外，评估组成员还查看了校园环境，实地了解教育教学设施使用情况。评估组对采集的信息进行了系统整理、汇总、分析，并及时与学校领导沟通反馈、交换意见。</w:t>
      </w:r>
    </w:p>
    <w:p w:rsidR="00702C6B" w:rsidRPr="00702C6B" w:rsidRDefault="00702C6B" w:rsidP="00702C6B">
      <w:pPr>
        <w:spacing w:line="576" w:lineRule="exact"/>
        <w:ind w:firstLineChars="200" w:firstLine="640"/>
        <w:rPr>
          <w:rFonts w:ascii="黑体" w:eastAsia="黑体" w:hAnsi="黑体" w:cs="Times New Roman"/>
          <w:sz w:val="32"/>
          <w:szCs w:val="32"/>
        </w:rPr>
      </w:pPr>
      <w:r w:rsidRPr="00702C6B">
        <w:rPr>
          <w:rFonts w:ascii="黑体" w:eastAsia="黑体" w:hAnsi="黑体" w:cs="Times New Roman" w:hint="eastAsia"/>
          <w:sz w:val="32"/>
          <w:szCs w:val="32"/>
        </w:rPr>
        <w:t>一、总体评价</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评估组认为上海市虹口区外国语第二小学以“体验创造</w:t>
      </w:r>
      <w:r w:rsidRPr="00702C6B">
        <w:rPr>
          <w:rFonts w:ascii="仿宋_GB2312" w:eastAsia="仿宋_GB2312" w:hAnsi="仿宋" w:cs="Times New Roman" w:hint="eastAsia"/>
          <w:sz w:val="32"/>
          <w:szCs w:val="32"/>
        </w:rPr>
        <w:lastRenderedPageBreak/>
        <w:t>奇迹”为办学理念，以建设高品质学校为愿景，循着“外语见长、科创赋能</w:t>
      </w:r>
      <w:r w:rsidR="00015C7A">
        <w:rPr>
          <w:rFonts w:ascii="仿宋_GB2312" w:eastAsia="仿宋_GB2312" w:hAnsi="仿宋" w:cs="Times New Roman" w:hint="eastAsia"/>
          <w:sz w:val="32"/>
          <w:szCs w:val="32"/>
        </w:rPr>
        <w:t>、</w:t>
      </w:r>
      <w:r w:rsidR="00015C7A" w:rsidRPr="00702C6B">
        <w:rPr>
          <w:rFonts w:ascii="仿宋_GB2312" w:eastAsia="仿宋_GB2312" w:hAnsi="仿宋" w:cs="Times New Roman" w:hint="eastAsia"/>
          <w:sz w:val="32"/>
          <w:szCs w:val="32"/>
        </w:rPr>
        <w:t>五育融合</w:t>
      </w:r>
      <w:r w:rsidRPr="00702C6B">
        <w:rPr>
          <w:rFonts w:ascii="仿宋_GB2312" w:eastAsia="仿宋_GB2312" w:hAnsi="仿宋" w:cs="Times New Roman" w:hint="eastAsia"/>
          <w:sz w:val="32"/>
          <w:szCs w:val="32"/>
        </w:rPr>
        <w:t>”的特色发展路径，深耕立德树人根本任务。学校将德育、智育、体育、美育、劳育有机融入课堂，以英语学科为突破口，借助集团化办学东风，将小班化教学、优质课程资源与数智技术深度融合，努力打造凸显外国语学校特色的教育品牌；深耕科创教育，创建上海市第一家科技类、虹口区首家一平米博物馆——“铅字心跳打字机一平米博物馆”，引导学生在动手实践中启迪智慧，培育学生创新素养。同时，学校将教师队伍建设作为核心支撑，构建起目标清晰、路径科学的教师发展体系，一支师德高尚、专业扎实、结构合理的教师团队已初具规模，为实现“培养全面而有个性的成长型人才”育人目标提供了坚实保障，彰显出学校在特色化、高品质发展道路上的探索与成效。</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评估组认为，学校的规划与实施匹配程度较好，规划目标的达成度较高。</w:t>
      </w:r>
    </w:p>
    <w:p w:rsidR="00702C6B" w:rsidRPr="00702C6B" w:rsidRDefault="00702C6B" w:rsidP="00702C6B">
      <w:pPr>
        <w:spacing w:line="576" w:lineRule="exact"/>
        <w:ind w:firstLineChars="200" w:firstLine="640"/>
        <w:rPr>
          <w:rFonts w:ascii="黑体" w:eastAsia="黑体" w:hAnsi="黑体" w:cs="Times New Roman"/>
          <w:sz w:val="32"/>
          <w:szCs w:val="32"/>
        </w:rPr>
      </w:pPr>
      <w:r w:rsidRPr="00702C6B">
        <w:rPr>
          <w:rFonts w:ascii="黑体" w:eastAsia="黑体" w:hAnsi="黑体" w:cs="Times New Roman" w:hint="eastAsia"/>
          <w:sz w:val="32"/>
          <w:szCs w:val="32"/>
        </w:rPr>
        <w:t>二、成绩与经验</w:t>
      </w:r>
    </w:p>
    <w:p w:rsidR="00702C6B" w:rsidRPr="00702C6B" w:rsidRDefault="00702C6B" w:rsidP="00702C6B">
      <w:pPr>
        <w:spacing w:line="576" w:lineRule="exact"/>
        <w:ind w:firstLineChars="200" w:firstLine="640"/>
        <w:rPr>
          <w:rFonts w:ascii="楷体_GB2312" w:eastAsia="楷体_GB2312" w:hAnsi="仿宋" w:cs="Times New Roman"/>
          <w:sz w:val="32"/>
          <w:szCs w:val="32"/>
        </w:rPr>
      </w:pPr>
      <w:r w:rsidRPr="00702C6B">
        <w:rPr>
          <w:rFonts w:ascii="楷体_GB2312" w:eastAsia="楷体_GB2312" w:hAnsi="仿宋" w:cs="Times New Roman" w:hint="eastAsia"/>
          <w:sz w:val="32"/>
          <w:szCs w:val="32"/>
        </w:rPr>
        <w:t>（一）</w:t>
      </w:r>
      <w:r w:rsidRPr="00702C6B">
        <w:rPr>
          <w:rFonts w:ascii="楷体_GB2312" w:eastAsia="楷体_GB2312" w:hAnsi="仿宋" w:cs="Times New Roman" w:hint="eastAsia"/>
          <w:sz w:val="32"/>
          <w:szCs w:val="32"/>
        </w:rPr>
        <w:tab/>
        <w:t>学校治理与发展</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1.党建领航聚合力，构建协同育人共同体</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落实党组织领导的校长负责制，将党建工作与办学深度融合，围绕“体验创造奇迹”办学理念推进党建“文化三融合”，以党建带团建、队建，发挥党组织政治核心作用。党员干部领衔教育改革项目，示范引领课程教学创新；工会、教代会畅通民主管理渠道，凝聚教职员工发展共识。教师问卷调查显示，100%的教师认可学校党组织“把方向、管大局、保落实”的作用，其中92.98%认为“成效显著”，“三重一大”决策的规范性、透明度获得一致肯定。同时，学校联动家庭、社会资源，构建家校社协同育人网络，为师生营造温馨和谐的成长环境，提供全方位支持。</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2.依法治校明方向，夯实安全发展压舱石</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以科学规划引领发展，以《奇迹π课程建构与实践研究》为核心项目，推动跨学科、项目化教学改革，打造“奇迹之旅”“一平米博物馆”等特色实践课程，激发学生潜能。同时，坚持依法规范办学，更名后及时修订学校章程，建立规章制度“立、改、废”程序，补充“双减”“五项管理”等13项新规，严格执行“三重一大”决策制度。此外，学校健全校园安全防控体系，积极创建文明校园，先后获评区文明单位、区教育系统三八红旗集体、全国航空特色学校、市科创教育联盟校等。</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3.特色教学塑品牌，提升核心素养新动能</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依托上外附小教育集团资源，学校以更名为契机打造英语特色品牌。师资上借助集团力量培育本土教师，区级人才梯队稳步增长；一、二年级推行小班化教学，增强口语互动；教研上建立“双周大组+分年级微教研”体系，深耕单元设计与跨学科融合；实践上打造“I love China”等主题课程，结合阅读区、短视频展示等场景，让学生在探究中运用语言。同时，依托上海市科创教育联盟校，构建家校社协同科创体系，配齐专职教师、聘请专家担任科学副校长，分学段开展“奇迹之旅”“跨越奇迹”项目化学习，开放“科创π空间站”，联动科技馆等资源搭建实践平台，近年科创类年均获奖近百人次。</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4.数智赋能促变革，打通教学评一体化路径</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以数字化转型为抓手，制定信息化工作规划，升级教学设备，推动信息技术与课堂教学深度融合。教师广泛运用ClassIn课堂智能分析、AI技术优化教学流程，借助“奇迹π慧评”“三个助手”平台开展学情诊断与个性化指导；三、四年级试点“深瞳优评”小程序，开展“学习兴趣、习惯、成果”三维过程性评价，通过学业曲线、体质数据、教师寄语等内容构建学生立体成长画像。电子化综合评价打破单一科目“等第”局限，实现过程性与增值性评价统一，获家长高度认可，为学生个性化成长提供科学支撑，推动育人方式系统性变革。</w:t>
      </w:r>
    </w:p>
    <w:p w:rsidR="00702C6B" w:rsidRPr="00702C6B" w:rsidRDefault="00702C6B" w:rsidP="00702C6B">
      <w:pPr>
        <w:spacing w:line="576" w:lineRule="exact"/>
        <w:ind w:firstLineChars="200" w:firstLine="640"/>
        <w:rPr>
          <w:rFonts w:ascii="楷体_GB2312" w:eastAsia="楷体_GB2312" w:hAnsi="仿宋" w:cs="Times New Roman"/>
          <w:sz w:val="32"/>
          <w:szCs w:val="32"/>
        </w:rPr>
      </w:pPr>
      <w:r w:rsidRPr="00702C6B">
        <w:rPr>
          <w:rFonts w:ascii="楷体_GB2312" w:eastAsia="楷体_GB2312" w:hAnsi="仿宋" w:cs="Times New Roman" w:hint="eastAsia"/>
          <w:sz w:val="32"/>
          <w:szCs w:val="32"/>
        </w:rPr>
        <w:t>（二）</w:t>
      </w:r>
      <w:r w:rsidRPr="00702C6B">
        <w:rPr>
          <w:rFonts w:ascii="楷体_GB2312" w:eastAsia="楷体_GB2312" w:hAnsi="仿宋" w:cs="Times New Roman" w:hint="eastAsia"/>
          <w:sz w:val="32"/>
          <w:szCs w:val="32"/>
        </w:rPr>
        <w:tab/>
        <w:t>课程教学</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1.多维课程搭框架，锚定学生成长基准线</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紧扣“双新”要求，构建起以“奇迹π”为核心的特色课程体系，整合国家、地方、校本三类课程资源，打造“语言表达·启智π”“逻辑思维·睿智π”等五大课程系列。各课程系列既聚焦学科基础提质，又注重能力进阶培养，比如“科学探索·创想π”通过低年级主题活动、高年级项目化学习，引导学生完整经历探究实践全流程；“体育健康·成长π”依托足球、排球等特色项目，实现“学、练、赛、评”一体化。同时，学校严格执行市教委课程计划，开足开齐各类课程，课后服务、快乐活动日有序推进，92%的学生对课程满意度较高，学生在学科竞赛、文体赛事中屡获佳绩，课程建设获得家长广泛认可。</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2.精细管理提效能，激活教学质量增长点</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以扎实的教学管理为支撑，推动课改项目落地见效。一方面，制定备课、听课、作业批改等全流程教学制度，语数英及综合学科“教学五环节”管理清晰，2022年、2025年绿色指标测试数据显示，语文、数学等学科合格率达到或超过区域平均水平，家长对艺术、体育等课程非常满意率达91.7%。另一方面，创新作业设计模式，推行分层作业、跨学科作业，打造“数学键盘设计师”“英语创意会话”等特色作业，作为上海市高质量作业体系建设实验校，形成了可复制推广的作业设计方案。同时，依托上外附小教育集团资源，开展跨校联合教研，引入STEM课程、VR技术等外部资源，拓宽课程实施边界。</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3.研教联动破难题，解锁教师成长密码</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以教学问题为切入点，推进课题研究与课堂变革双向赋能。一是引导骨干教师围绕学科重难点开展研究，融合上外集团校资源开展教研活动，形成“有主题、有研究、有积累”的教研氛围，已立项区级课题16项、市级项目1项。二是以项目化学习与数字化转型双轮驱动课堂变革，设计“祖国山河创意游”“节水花盆设计师”等跨学科项目化学习案例，多次斩获市级奖项。此外，学校优化教学流程管理，借力“空中课堂”打造特色教学模式，推动教学评一体化落地。</w:t>
      </w:r>
    </w:p>
    <w:p w:rsidR="00702C6B" w:rsidRPr="00702C6B" w:rsidRDefault="00702C6B" w:rsidP="00702C6B">
      <w:pPr>
        <w:spacing w:line="576" w:lineRule="exact"/>
        <w:ind w:firstLineChars="200" w:firstLine="640"/>
        <w:rPr>
          <w:rFonts w:ascii="楷体_GB2312" w:eastAsia="楷体_GB2312" w:hAnsi="仿宋" w:cs="Times New Roman"/>
          <w:sz w:val="32"/>
          <w:szCs w:val="32"/>
        </w:rPr>
      </w:pPr>
      <w:r w:rsidRPr="00702C6B">
        <w:rPr>
          <w:rFonts w:ascii="楷体_GB2312" w:eastAsia="楷体_GB2312" w:hAnsi="仿宋" w:cs="Times New Roman" w:hint="eastAsia"/>
          <w:sz w:val="32"/>
          <w:szCs w:val="32"/>
        </w:rPr>
        <w:t>（三）</w:t>
      </w:r>
      <w:r w:rsidRPr="00702C6B">
        <w:rPr>
          <w:rFonts w:ascii="楷体_GB2312" w:eastAsia="楷体_GB2312" w:hAnsi="仿宋" w:cs="Times New Roman" w:hint="eastAsia"/>
          <w:sz w:val="32"/>
          <w:szCs w:val="32"/>
        </w:rPr>
        <w:tab/>
        <w:t>队伍建设与资源保障</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1.分层培养搭阶梯，筑牢教师成长根基</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聚焦教师发展全周期，构建起目标明确、路径清晰的分层培养体系。一方面，强化师德师风建设，搭建“师德+素养+实践”校本培训课程体系，常态化推进师德教育与考核，教师对职业认同感、幸福感的整体评价达98.25%。另一方面，创新“一析四定”培养策略，针对每位教师的专业现状精准制定成长目标、路径与评价标准，打造从“新手”到“骨干”的四阶成长梯队；推行青年教师多岗位见习制，让青年教师参与教导处、德育处等核心部门工作，锤炼综合育人能力。同时，主动拥抱</w:t>
      </w:r>
      <w:r w:rsidR="00015C7A">
        <w:rPr>
          <w:rFonts w:ascii="仿宋_GB2312" w:eastAsia="仿宋_GB2312" w:hAnsi="仿宋" w:cs="Times New Roman" w:hint="eastAsia"/>
          <w:sz w:val="32"/>
          <w:szCs w:val="32"/>
        </w:rPr>
        <w:t>数字化</w:t>
      </w:r>
      <w:r w:rsidRPr="00702C6B">
        <w:rPr>
          <w:rFonts w:ascii="仿宋_GB2312" w:eastAsia="仿宋_GB2312" w:hAnsi="仿宋" w:cs="Times New Roman" w:hint="eastAsia"/>
          <w:sz w:val="32"/>
          <w:szCs w:val="32"/>
        </w:rPr>
        <w:t>转型，将AI技术纳入校本培训，助力教师队伍在区域数智化转型中走在前列。</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2.三维协同聚合力，点燃教师发展引擎</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构建“科研—教研—教学”三维协同机制，以科研赋能教师专业能力提升。在实施中突出一个“融”字，时间上固定“研教融合时段”，组建六大学科教研团队围绕教学重难点开展主题研修；管理上形成“问题提炼—课题立项—课堂验证—成果反哺”闭环，将科研成果转化为教学实效；评价上健全教师专业发展激励机制，激发教师科研积极性。近五年来，学校全学科立项28项课题，有效解决一线教学痛点，其中青年教师贡献了40%的成果，实现从“要我研”到“我要研”的转变，教师对学校培训、教研等支持的满意度达100%，科研成为教师专业成长的核心引擎。</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3.精准配置促联动，强化办学资源保障</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通过校内资源优化与外部资源整合，为办学质量筑牢根基。校内方面，规范财务与资产管理，更新操场、专用教室设施，打造“一平方博物馆”与走廊文化，让校园空间成为隐性育人阵地；师资向特色学科倾斜，5位高级教师中3位深耕英语学科，为“英语特色”提供强有力的支持保障。校外方面，依托上外附小教育集团，通过“请进来”名师指导、“送出去”跨校交流提升教师能力；联动凉城街道驿站、上海科技馆、红色教育基地等社会资源，为“外语见长、科创赋能、五育融合”提供丰富实践场景，拓展育人边界。</w:t>
      </w:r>
    </w:p>
    <w:p w:rsidR="00702C6B" w:rsidRPr="00702C6B" w:rsidRDefault="00702C6B" w:rsidP="00702C6B">
      <w:pPr>
        <w:spacing w:line="576" w:lineRule="exact"/>
        <w:ind w:firstLineChars="200" w:firstLine="640"/>
        <w:rPr>
          <w:rFonts w:ascii="楷体_GB2312" w:eastAsia="楷体_GB2312" w:hAnsi="仿宋" w:cs="Times New Roman"/>
          <w:sz w:val="32"/>
          <w:szCs w:val="32"/>
        </w:rPr>
      </w:pPr>
      <w:r w:rsidRPr="00702C6B">
        <w:rPr>
          <w:rFonts w:ascii="楷体_GB2312" w:eastAsia="楷体_GB2312" w:hAnsi="仿宋" w:cs="Times New Roman" w:hint="eastAsia"/>
          <w:sz w:val="32"/>
          <w:szCs w:val="32"/>
        </w:rPr>
        <w:t>（四）</w:t>
      </w:r>
      <w:r w:rsidRPr="00702C6B">
        <w:rPr>
          <w:rFonts w:ascii="楷体_GB2312" w:eastAsia="楷体_GB2312" w:hAnsi="仿宋" w:cs="Times New Roman" w:hint="eastAsia"/>
          <w:sz w:val="32"/>
          <w:szCs w:val="32"/>
        </w:rPr>
        <w:tab/>
        <w:t>学生发展</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1.五育融合绘蓝图，家校社协同育新人</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围绕“美丽心灵、聪慧头脑、强健体魄、明亮眼睛、灵巧双手”五大目标，构建五育融合体系，通过校家社协同拓展育人路径。一方面，打造“精准化干预、常态化护航、个性化帮扶”心理健康教育体系，借助家长微课、漫画展等营造心育氛围；全面推进全员导师制，实现“学生人人有导师”，让教育浸润心灵。另一方面，创新综合实践活动，低年级开设“奇迹之旅”主题课程，中高年级开展“跨越奇迹”项目化学习，联动科技馆、社区搭建实践大课堂，“一平米博物馆”“顽泥坊”陶艺等活动让学生在实践中成长。</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2.多元评价赋成长，提升素养成效显著</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推行“分项等第制”与“绿色指标测试”相结合的评价方式，在三、四年级试点“学习态度、实践能力”专项评价，累计生成500余份报告，动态追踪学生成长轨迹；依托“奇迹π慧评”智能项目，用雷达图呈现五育发展状况，为个性化培养提供数据支撑。2025年绿色指标测试显示，科学、体育与健康素养达成度100%，艺术素养达成度超全市1%，印证了“奇迹π”课程的科学性。学生综合素养突出，年均获科创类奖项近百人次，舞蹈队获全国艺术展演二等奖，近百名学生在英语、古诗文等赛事中斩获市、区级奖项。</w:t>
      </w:r>
    </w:p>
    <w:p w:rsidR="00702C6B" w:rsidRPr="00702C6B" w:rsidRDefault="00702C6B" w:rsidP="00702C6B">
      <w:pPr>
        <w:spacing w:line="576" w:lineRule="exact"/>
        <w:ind w:firstLineChars="200" w:firstLine="640"/>
        <w:rPr>
          <w:rFonts w:ascii="黑体" w:eastAsia="黑体" w:hAnsi="黑体" w:cs="Times New Roman"/>
          <w:sz w:val="32"/>
          <w:szCs w:val="32"/>
        </w:rPr>
      </w:pPr>
      <w:r w:rsidRPr="00702C6B">
        <w:rPr>
          <w:rFonts w:ascii="黑体" w:eastAsia="黑体" w:hAnsi="黑体" w:cs="Times New Roman" w:hint="eastAsia"/>
          <w:sz w:val="32"/>
          <w:szCs w:val="32"/>
        </w:rPr>
        <w:t>三、问题与建议</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问题1.学校需强化特色顶层设计，打造专属育人模式。</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学校在“外语见长 科创赋能 五育融合”的育人特色建设上，缺乏系统性的顶层设计，尚未形成契合学校自身特征的成熟育人体系。虽有办学理念指引，但特色发展的目标、路径不够明确，评价机制缺失，未能充分挖掘和发挥学校的育人优势。</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建议：首先，梳理总结过往特色发展经验，结合学校实际与新一轮发展需求，制定专项实施方案，明确特色发展的阶段目标、具体实施路径及体验活动形式，构建配套的特色评价机制，形成具有虹外二</w:t>
      </w:r>
      <w:r w:rsidR="00015C7A">
        <w:rPr>
          <w:rFonts w:ascii="仿宋_GB2312" w:eastAsia="仿宋_GB2312" w:hAnsi="仿宋" w:cs="Times New Roman" w:hint="eastAsia"/>
          <w:sz w:val="32"/>
          <w:szCs w:val="32"/>
        </w:rPr>
        <w:t>小</w:t>
      </w:r>
      <w:r w:rsidRPr="00702C6B">
        <w:rPr>
          <w:rFonts w:ascii="仿宋_GB2312" w:eastAsia="仿宋_GB2312" w:hAnsi="仿宋" w:cs="Times New Roman" w:hint="eastAsia"/>
          <w:sz w:val="32"/>
          <w:szCs w:val="32"/>
        </w:rPr>
        <w:t>辨识度的英语教学与科创教育特色。其次，推行因材施教策略，针对不同层次学生制定个性化培养方案，通过课堂互动、情景模拟等方式提升学生英语交流表达能力；组建英语教学专业骨干团队，开展定期教研与培训，提升师资水平。最后，创设沉浸式语言学习文化氛围，在条件允许的情况下，开设1-2门小语种兴趣社团，组织外语文化节、科创竞赛等活动，拓宽学生国际视野，全方位落实“体验创造奇迹”的办学理念。</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问题2.课程架构的系统性与科学性还需进一步统筹，办学理念还需进一步落地彰显。</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学校现有课程体系架构，虽独立制定了劳动课程、综合实践活动及校本课程方案，但三者与整体课程框架间缺乏严谨的逻辑关联，各模块呈现碎片化状态。整个课程体系未能有效落地“体验创造奇迹”的办学理念，特色课程缺乏系统性设计，难以形成鲜明的办学辨识度与育人合力。</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建议：围绕“体验创造奇迹”办学理念，从课程领导力与执行力双向发力：一方面，以“奇迹少年”培养目标和学生画像为锚点，梳理完善课程方案，搭建逻辑严密的课程框架，厘清整体方案与德育、劳动等课程的关联，打通目标达成路径，同时整合家校社资源，强化开门办学效能，打造凸显办学特色的课程体系，提升课程资源利用率；另一方面，依托“核心素养评价、AI赋能”等前期成果，凝练“奇趣课堂”专属教学主张，厘清其与国家课程标准的关系，提炼跨学科共性教学策略并固化，指导各学科挖掘特质化实施路径，借助市区平台推广优秀成果。此外，提升教研组研修能力，以系列化主题研修推动教学主张落地，将研究成果转化为教学实效，全面提升教师教学水准。</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问题3.骨干教师学科分布有待均衡，领军型“塔尖”人才仍需培育。</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骨干教师学科分布不够均衡并缺少领军型教师。骨干力量集中在部分优势学科，紧缺学科、新兴科创学科骨干教师储备薄弱。年轻教师在快速成长的同时，尚未形成足够数量的、能够在本学科领域内起引领和辐射作用的“塔尖”人才。</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建议：针对骨干教师分布失衡、领军人才短缺问题，可从内外两方面破局：外部借力，强化规划引领，制定教师高质量发展三年行动计划，依托教育集团平台，推动骨干教师跨校柔性流动，聘请市、区级教研员及特级教师担任“校外学术导师”，借助AI赋能健全领军教师培养机制；内部挖潜，先盘点薄弱学科教师短板，针对性补强本体知识、夯实教学基本功，再建立青年骨干后备人才库，为教师制定个人发展规划，以项目驱动均衡学科骨干配置</w:t>
      </w:r>
      <w:r w:rsidR="00015C7A">
        <w:rPr>
          <w:rFonts w:ascii="仿宋_GB2312" w:eastAsia="仿宋_GB2312" w:hAnsi="仿宋" w:cs="Times New Roman" w:hint="eastAsia"/>
          <w:sz w:val="32"/>
          <w:szCs w:val="32"/>
        </w:rPr>
        <w:t>。同时，</w:t>
      </w:r>
      <w:r w:rsidRPr="00702C6B">
        <w:rPr>
          <w:rFonts w:ascii="仿宋_GB2312" w:eastAsia="仿宋_GB2312" w:hAnsi="仿宋" w:cs="Times New Roman" w:hint="eastAsia"/>
          <w:sz w:val="32"/>
          <w:szCs w:val="32"/>
        </w:rPr>
        <w:t>从不同层级教师中选拔师德优、潜力大的对象，建立“一人一导师、一科一方案”培养机制，力争在市、区级骨干培养上取得突破，形成“以点带面”的成长效应。</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问题4.学生社团及科创艺术活动，需进一步优化升级。</w:t>
      </w:r>
    </w:p>
    <w:p w:rsidR="00702C6B" w:rsidRPr="00702C6B" w:rsidRDefault="00702C6B" w:rsidP="00702C6B">
      <w:pPr>
        <w:spacing w:line="576" w:lineRule="exact"/>
        <w:ind w:firstLineChars="200" w:firstLine="640"/>
        <w:rPr>
          <w:rFonts w:ascii="仿宋_GB2312" w:eastAsia="仿宋_GB2312" w:hAnsi="仿宋" w:cs="Times New Roman"/>
          <w:sz w:val="32"/>
          <w:szCs w:val="32"/>
        </w:rPr>
      </w:pPr>
      <w:r w:rsidRPr="00702C6B">
        <w:rPr>
          <w:rFonts w:ascii="仿宋_GB2312" w:eastAsia="仿宋_GB2312" w:hAnsi="仿宋" w:cs="Times New Roman" w:hint="eastAsia"/>
          <w:sz w:val="32"/>
          <w:szCs w:val="32"/>
        </w:rPr>
        <w:t>2025年绿色指标</w:t>
      </w:r>
      <w:r w:rsidR="00015C7A">
        <w:rPr>
          <w:rFonts w:ascii="仿宋_GB2312" w:eastAsia="仿宋_GB2312" w:hAnsi="仿宋" w:cs="Times New Roman" w:hint="eastAsia"/>
          <w:sz w:val="32"/>
          <w:szCs w:val="32"/>
        </w:rPr>
        <w:t>数据</w:t>
      </w:r>
      <w:r w:rsidRPr="00702C6B">
        <w:rPr>
          <w:rFonts w:ascii="仿宋_GB2312" w:eastAsia="仿宋_GB2312" w:hAnsi="仿宋" w:cs="Times New Roman" w:hint="eastAsia"/>
          <w:sz w:val="32"/>
          <w:szCs w:val="32"/>
        </w:rPr>
        <w:t>显示</w:t>
      </w:r>
      <w:r w:rsidR="00015C7A">
        <w:rPr>
          <w:rFonts w:ascii="仿宋_GB2312" w:eastAsia="仿宋_GB2312" w:hAnsi="仿宋" w:cs="Times New Roman" w:hint="eastAsia"/>
          <w:sz w:val="32"/>
          <w:szCs w:val="32"/>
        </w:rPr>
        <w:t>，</w:t>
      </w:r>
      <w:r w:rsidRPr="00702C6B">
        <w:rPr>
          <w:rFonts w:ascii="仿宋_GB2312" w:eastAsia="仿宋_GB2312" w:hAnsi="仿宋" w:cs="Times New Roman" w:hint="eastAsia"/>
          <w:sz w:val="32"/>
          <w:szCs w:val="32"/>
        </w:rPr>
        <w:t>学生在创造力倾向、科学与艺术高层次思维等五项指标上有差距，由此分析推断，学生缺乏面对真实复杂情境，运用创造性思维，提出创新想法来解决问题的学习机会与实践历练。同时，学生及家长反馈希望学校能开设更多兴趣社团和课内外社会实践活动</w:t>
      </w:r>
      <w:r w:rsidR="00015C7A">
        <w:rPr>
          <w:rFonts w:ascii="仿宋_GB2312" w:eastAsia="仿宋_GB2312" w:hAnsi="仿宋" w:cs="Times New Roman" w:hint="eastAsia"/>
          <w:sz w:val="32"/>
          <w:szCs w:val="32"/>
        </w:rPr>
        <w:t>。由此可见，</w:t>
      </w:r>
      <w:r w:rsidRPr="00702C6B">
        <w:rPr>
          <w:rFonts w:ascii="仿宋_GB2312" w:eastAsia="仿宋_GB2312" w:hAnsi="仿宋" w:cs="Times New Roman" w:hint="eastAsia"/>
          <w:sz w:val="32"/>
          <w:szCs w:val="32"/>
        </w:rPr>
        <w:t>当前的课外活动体系有待完善。</w:t>
      </w:r>
    </w:p>
    <w:p w:rsidR="00C9481C" w:rsidRPr="005A3F56" w:rsidRDefault="00702C6B" w:rsidP="00702C6B">
      <w:pPr>
        <w:spacing w:line="576" w:lineRule="exact"/>
        <w:ind w:firstLineChars="200" w:firstLine="640"/>
      </w:pPr>
      <w:r w:rsidRPr="00702C6B">
        <w:rPr>
          <w:rFonts w:ascii="仿宋_GB2312" w:eastAsia="仿宋_GB2312" w:hAnsi="仿宋" w:cs="Times New Roman" w:hint="eastAsia"/>
          <w:sz w:val="32"/>
          <w:szCs w:val="32"/>
        </w:rPr>
        <w:t>建议：从分层课程建设、资源协同整合、多元活动拓展三方面推进，构建“低结构普及+高层次提升”的科创课程体系，通过设计项目化学习任务、升级“三模三电”等活动，强化“做中学、创中学”的实践体验；协同家校社及区青少年活动中心，打造科技、艺术等高端社团课程，借助AI赋能提升互动性与探究性；</w:t>
      </w:r>
      <w:r w:rsidR="00015C7A">
        <w:rPr>
          <w:rFonts w:ascii="仿宋_GB2312" w:eastAsia="仿宋_GB2312" w:hAnsi="仿宋" w:cs="Times New Roman" w:hint="eastAsia"/>
          <w:sz w:val="32"/>
          <w:szCs w:val="32"/>
        </w:rPr>
        <w:t>依托</w:t>
      </w:r>
      <w:r w:rsidRPr="00702C6B">
        <w:rPr>
          <w:rFonts w:ascii="仿宋_GB2312" w:eastAsia="仿宋_GB2312" w:hAnsi="仿宋" w:cs="Times New Roman" w:hint="eastAsia"/>
          <w:sz w:val="32"/>
          <w:szCs w:val="32"/>
        </w:rPr>
        <w:t>运动会、冬令营等载体优化体育活动，分阶段引入音乐表演、智能编程等前沿课程，联合博物馆开发特色校本课程，推动德育、科技、艺术等多领域融合，为学生搭建个性化成长平台，提升学生高阶思维水平。</w:t>
      </w:r>
    </w:p>
    <w:sectPr w:rsidR="00C9481C" w:rsidRPr="005A3F56" w:rsidSect="00ED5BA8">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633" w:rsidRDefault="00DA4633" w:rsidP="00BA3742">
      <w:r>
        <w:separator/>
      </w:r>
    </w:p>
  </w:endnote>
  <w:endnote w:type="continuationSeparator" w:id="0">
    <w:p w:rsidR="00DA4633" w:rsidRDefault="00DA4633" w:rsidP="00BA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693509"/>
      <w:docPartObj>
        <w:docPartGallery w:val="Page Numbers (Bottom of Page)"/>
        <w:docPartUnique/>
      </w:docPartObj>
    </w:sdtPr>
    <w:sdtEndPr>
      <w:rPr>
        <w:rFonts w:ascii="宋体" w:eastAsia="宋体" w:hAnsi="宋体"/>
        <w:sz w:val="28"/>
        <w:szCs w:val="28"/>
      </w:rPr>
    </w:sdtEndPr>
    <w:sdtContent>
      <w:p w:rsidR="00ED5BA8" w:rsidRDefault="00ED5BA8">
        <w:pPr>
          <w:pStyle w:val="a5"/>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8F619A" w:rsidRPr="008F619A">
          <w:rPr>
            <w:rFonts w:ascii="宋体" w:eastAsia="宋体" w:hAnsi="宋体"/>
            <w:noProof/>
            <w:sz w:val="28"/>
            <w:szCs w:val="28"/>
            <w:lang w:val="zh-CN"/>
          </w:rPr>
          <w:t>-</w:t>
        </w:r>
        <w:r w:rsidR="008F619A">
          <w:rPr>
            <w:rFonts w:ascii="宋体" w:eastAsia="宋体" w:hAnsi="宋体"/>
            <w:noProof/>
            <w:sz w:val="28"/>
            <w:szCs w:val="28"/>
          </w:rPr>
          <w:t xml:space="preserve"> 10 -</w:t>
        </w:r>
        <w:r w:rsidRPr="00ED5BA8">
          <w:rPr>
            <w:rFonts w:ascii="宋体" w:eastAsia="宋体" w:hAnsi="宋体"/>
            <w:sz w:val="28"/>
            <w:szCs w:val="28"/>
          </w:rPr>
          <w:fldChar w:fldCharType="end"/>
        </w:r>
      </w:p>
    </w:sdtContent>
  </w:sdt>
  <w:p w:rsidR="00ED5BA8" w:rsidRDefault="00ED5B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252476"/>
      <w:docPartObj>
        <w:docPartGallery w:val="Page Numbers (Bottom of Page)"/>
        <w:docPartUnique/>
      </w:docPartObj>
    </w:sdtPr>
    <w:sdtEndPr>
      <w:rPr>
        <w:rFonts w:ascii="宋体" w:eastAsia="宋体" w:hAnsi="宋体"/>
        <w:sz w:val="28"/>
        <w:szCs w:val="28"/>
      </w:rPr>
    </w:sdtEndPr>
    <w:sdtContent>
      <w:p w:rsidR="00ED5BA8" w:rsidRDefault="00ED5BA8">
        <w:pPr>
          <w:pStyle w:val="a5"/>
          <w:jc w:val="right"/>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DA4633" w:rsidRPr="00DA4633">
          <w:rPr>
            <w:rFonts w:ascii="宋体" w:eastAsia="宋体" w:hAnsi="宋体"/>
            <w:noProof/>
            <w:sz w:val="28"/>
            <w:szCs w:val="28"/>
            <w:lang w:val="zh-CN"/>
          </w:rPr>
          <w:t>-</w:t>
        </w:r>
        <w:r w:rsidR="00DA4633">
          <w:rPr>
            <w:rFonts w:ascii="宋体" w:eastAsia="宋体" w:hAnsi="宋体"/>
            <w:noProof/>
            <w:sz w:val="28"/>
            <w:szCs w:val="28"/>
          </w:rPr>
          <w:t xml:space="preserve"> 1 -</w:t>
        </w:r>
        <w:r w:rsidRPr="00ED5BA8">
          <w:rPr>
            <w:rFonts w:ascii="宋体" w:eastAsia="宋体" w:hAnsi="宋体"/>
            <w:sz w:val="28"/>
            <w:szCs w:val="28"/>
          </w:rPr>
          <w:fldChar w:fldCharType="end"/>
        </w:r>
      </w:p>
    </w:sdtContent>
  </w:sdt>
  <w:p w:rsidR="00ED5BA8" w:rsidRDefault="00ED5B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633" w:rsidRDefault="00DA4633" w:rsidP="00BA3742">
      <w:r>
        <w:separator/>
      </w:r>
    </w:p>
  </w:footnote>
  <w:footnote w:type="continuationSeparator" w:id="0">
    <w:p w:rsidR="00DA4633" w:rsidRDefault="00DA4633" w:rsidP="00BA3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A8"/>
    <w:rsid w:val="00015C7A"/>
    <w:rsid w:val="00091E48"/>
    <w:rsid w:val="000A2758"/>
    <w:rsid w:val="000A605A"/>
    <w:rsid w:val="002A4DDB"/>
    <w:rsid w:val="002B2FB6"/>
    <w:rsid w:val="005A384D"/>
    <w:rsid w:val="005A3F56"/>
    <w:rsid w:val="006517CC"/>
    <w:rsid w:val="00666176"/>
    <w:rsid w:val="006A3E32"/>
    <w:rsid w:val="006C6FA8"/>
    <w:rsid w:val="00702C6B"/>
    <w:rsid w:val="007D33BC"/>
    <w:rsid w:val="007D3CC5"/>
    <w:rsid w:val="008F619A"/>
    <w:rsid w:val="00B77968"/>
    <w:rsid w:val="00BA3742"/>
    <w:rsid w:val="00BA3FC8"/>
    <w:rsid w:val="00C9481C"/>
    <w:rsid w:val="00DA4633"/>
    <w:rsid w:val="00ED5BA8"/>
    <w:rsid w:val="00F51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EA1253-8426-49FD-BC37-EA8C4ADA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6C6FA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A37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3742"/>
    <w:rPr>
      <w:sz w:val="18"/>
      <w:szCs w:val="18"/>
    </w:rPr>
  </w:style>
  <w:style w:type="paragraph" w:styleId="a5">
    <w:name w:val="footer"/>
    <w:basedOn w:val="a"/>
    <w:link w:val="Char0"/>
    <w:uiPriority w:val="99"/>
    <w:unhideWhenUsed/>
    <w:rsid w:val="00BA3742"/>
    <w:pPr>
      <w:tabs>
        <w:tab w:val="center" w:pos="4153"/>
        <w:tab w:val="right" w:pos="8306"/>
      </w:tabs>
      <w:snapToGrid w:val="0"/>
      <w:jc w:val="left"/>
    </w:pPr>
    <w:rPr>
      <w:sz w:val="18"/>
      <w:szCs w:val="18"/>
    </w:rPr>
  </w:style>
  <w:style w:type="character" w:customStyle="1" w:styleId="Char0">
    <w:name w:val="页脚 Char"/>
    <w:basedOn w:val="a0"/>
    <w:link w:val="a5"/>
    <w:uiPriority w:val="99"/>
    <w:rsid w:val="00BA3742"/>
    <w:rPr>
      <w:sz w:val="18"/>
      <w:szCs w:val="18"/>
    </w:rPr>
  </w:style>
  <w:style w:type="paragraph" w:styleId="a6">
    <w:name w:val="Balloon Text"/>
    <w:basedOn w:val="a"/>
    <w:link w:val="Char1"/>
    <w:uiPriority w:val="99"/>
    <w:semiHidden/>
    <w:unhideWhenUsed/>
    <w:rsid w:val="00F51DD1"/>
    <w:rPr>
      <w:sz w:val="18"/>
      <w:szCs w:val="18"/>
    </w:rPr>
  </w:style>
  <w:style w:type="character" w:customStyle="1" w:styleId="Char1">
    <w:name w:val="批注框文本 Char"/>
    <w:basedOn w:val="a0"/>
    <w:link w:val="a6"/>
    <w:uiPriority w:val="99"/>
    <w:semiHidden/>
    <w:rsid w:val="00F51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878</Words>
  <Characters>5008</Characters>
  <Application>Microsoft Office Word</Application>
  <DocSecurity>0</DocSecurity>
  <Lines>41</Lines>
  <Paragraphs>11</Paragraphs>
  <ScaleCrop>false</ScaleCrop>
  <Company>P R C</Company>
  <LinksUpToDate>false</LinksUpToDate>
  <CharactersWithSpaces>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2026-06-08T03:46:00Z</cp:lastPrinted>
  <dcterms:created xsi:type="dcterms:W3CDTF">2026-06-17T00:33:00Z</dcterms:created>
  <dcterms:modified xsi:type="dcterms:W3CDTF">2026-06-17T00:33:00Z</dcterms:modified>
</cp:coreProperties>
</file>