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C6FA8" w:rsidRPr="00E35894" w:rsidRDefault="005A3F56" w:rsidP="005A3F56">
      <w:pPr>
        <w:spacing w:line="420" w:lineRule="exact"/>
        <w:jc w:val="center"/>
        <w:rPr>
          <w:rFonts w:ascii="方正小标宋简体" w:eastAsia="方正小标宋简体" w:hAnsi="宋体" w:cs="Times New Roman"/>
          <w:spacing w:val="-24"/>
          <w:kern w:val="0"/>
          <w:sz w:val="44"/>
          <w:szCs w:val="44"/>
        </w:rPr>
      </w:pPr>
      <w:bookmarkStart w:id="0" w:name="_GoBack"/>
      <w:bookmarkEnd w:id="0"/>
      <w:r w:rsidRPr="005A3F56">
        <w:rPr>
          <w:rFonts w:ascii="方正小标宋简体" w:eastAsia="方正小标宋简体" w:hAnsi="宋体" w:cs="Times New Roman" w:hint="eastAsia"/>
          <w:spacing w:val="-24"/>
          <w:kern w:val="0"/>
          <w:sz w:val="44"/>
          <w:szCs w:val="44"/>
        </w:rPr>
        <w:t>虹口区凉城第四小学</w:t>
      </w:r>
      <w:r w:rsidR="00BA3FC8">
        <w:rPr>
          <w:rFonts w:ascii="方正小标宋简体" w:eastAsia="方正小标宋简体" w:hAnsi="宋体" w:cs="Times New Roman" w:hint="eastAsia"/>
          <w:spacing w:val="-24"/>
          <w:kern w:val="0"/>
          <w:sz w:val="44"/>
          <w:szCs w:val="44"/>
        </w:rPr>
        <w:t>学校</w:t>
      </w:r>
      <w:r w:rsidR="006C6FA8" w:rsidRPr="00E35894">
        <w:rPr>
          <w:rFonts w:ascii="方正小标宋简体" w:eastAsia="方正小标宋简体" w:hAnsi="宋体" w:cs="Times New Roman" w:hint="eastAsia"/>
          <w:spacing w:val="-24"/>
          <w:kern w:val="0"/>
          <w:sz w:val="44"/>
          <w:szCs w:val="44"/>
        </w:rPr>
        <w:t>发展性督导评估意见书</w:t>
      </w:r>
    </w:p>
    <w:p w:rsidR="006C6FA8" w:rsidRPr="00D8287C" w:rsidRDefault="006C6FA8" w:rsidP="005A3F56">
      <w:pPr>
        <w:spacing w:line="420" w:lineRule="exact"/>
        <w:rPr>
          <w:rFonts w:ascii="宋体" w:eastAsia="宋体" w:hAnsi="宋体" w:cs="Times New Roman"/>
          <w:b/>
          <w:spacing w:val="-20"/>
          <w:sz w:val="44"/>
          <w:szCs w:val="44"/>
        </w:rPr>
      </w:pPr>
    </w:p>
    <w:p w:rsidR="005A3F56" w:rsidRPr="005A3F56" w:rsidRDefault="006C6FA8" w:rsidP="005A3F56">
      <w:pPr>
        <w:spacing w:line="576" w:lineRule="exact"/>
        <w:ind w:firstLineChars="200" w:firstLine="640"/>
        <w:rPr>
          <w:rFonts w:ascii="仿宋_GB2312" w:eastAsia="仿宋_GB2312" w:hAnsi="仿宋" w:cs="Times New Roman"/>
          <w:sz w:val="32"/>
          <w:szCs w:val="32"/>
        </w:rPr>
      </w:pPr>
      <w:r w:rsidRPr="006C6FA8">
        <w:rPr>
          <w:rFonts w:ascii="仿宋_GB2312" w:eastAsia="仿宋_GB2312" w:hAnsi="仿宋" w:cs="Times New Roman" w:hint="eastAsia"/>
          <w:sz w:val="32"/>
          <w:szCs w:val="32"/>
        </w:rPr>
        <w:t>为</w:t>
      </w:r>
      <w:r w:rsidR="005A3F56" w:rsidRPr="005A3F56">
        <w:rPr>
          <w:rFonts w:ascii="仿宋_GB2312" w:eastAsia="仿宋_GB2312" w:hAnsi="仿宋" w:cs="Times New Roman" w:hint="eastAsia"/>
          <w:sz w:val="32"/>
          <w:szCs w:val="32"/>
        </w:rPr>
        <w:t>全面贯彻党的教育方针和落实立德树人根本任务，深化新时代义务教育阶段学校发展性督导评价改革，推进义务教育优质均衡发展，2026年4月16-17日，上海市虹口区人民政府教育督导室、虹口区教育督导事务中心依据“虹口区义务教育阶段学校发展性督导评价实施方案”，组织专家组对上海市虹口区凉城第四小学五年自主发展规划（2020年—2025年）实施情况进行督导评估。</w:t>
      </w:r>
    </w:p>
    <w:p w:rsidR="005A3F56" w:rsidRPr="005A3F56" w:rsidRDefault="005A3F56" w:rsidP="005A3F56">
      <w:pPr>
        <w:spacing w:line="576" w:lineRule="exact"/>
        <w:ind w:firstLineChars="200" w:firstLine="640"/>
        <w:rPr>
          <w:rFonts w:ascii="仿宋_GB2312" w:eastAsia="仿宋_GB2312" w:hAnsi="仿宋" w:cs="Times New Roman"/>
          <w:sz w:val="32"/>
          <w:szCs w:val="32"/>
        </w:rPr>
      </w:pPr>
      <w:r w:rsidRPr="005A3F56">
        <w:rPr>
          <w:rFonts w:ascii="仿宋_GB2312" w:eastAsia="仿宋_GB2312" w:hAnsi="仿宋" w:cs="Times New Roman" w:hint="eastAsia"/>
          <w:sz w:val="32"/>
          <w:szCs w:val="32"/>
        </w:rPr>
        <w:t>专家组认真听取了周吉校长关于学校规划实施情况的终结性自评报告，查阅了学校五年来实施规划过程的文本资料247份。专家组成员就学校治理、课程教学、队伍建设、资源保障、学生发展、学校发展等方面的进展情况开展了全面评估。督导评估过程中，专家组深入实地，全面考察，共访谈校领导、教师及相关人员24人次，分别召开了班主任、教师、学生、社区及家长代表座谈会，共有61人参加。听课16节。发放教师问卷49份、学生问卷160份、家长问卷315份、社区问卷22份。此外，专家组成员还查看了校园环境，实地了解教育教学设施使用情况。专家组对采集的信息进行了系统整理、汇总、分析，并及时与学校领导沟通反馈、交换意见。</w:t>
      </w:r>
    </w:p>
    <w:p w:rsidR="005A3F56" w:rsidRPr="005A3F56" w:rsidRDefault="005A3F56" w:rsidP="005A3F56">
      <w:pPr>
        <w:spacing w:line="576" w:lineRule="exact"/>
        <w:ind w:firstLineChars="200" w:firstLine="640"/>
        <w:rPr>
          <w:rFonts w:ascii="黑体" w:eastAsia="黑体" w:hAnsi="黑体" w:cs="Times New Roman"/>
          <w:sz w:val="32"/>
          <w:szCs w:val="32"/>
        </w:rPr>
      </w:pPr>
      <w:r w:rsidRPr="005A3F56">
        <w:rPr>
          <w:rFonts w:ascii="黑体" w:eastAsia="黑体" w:hAnsi="黑体" w:cs="Times New Roman" w:hint="eastAsia"/>
          <w:sz w:val="32"/>
          <w:szCs w:val="32"/>
        </w:rPr>
        <w:t>一、总体评价</w:t>
      </w:r>
    </w:p>
    <w:p w:rsidR="005A3F56" w:rsidRPr="005A3F56" w:rsidRDefault="005A3F56" w:rsidP="005A3F56">
      <w:pPr>
        <w:spacing w:line="576" w:lineRule="exact"/>
        <w:ind w:firstLineChars="200" w:firstLine="640"/>
        <w:rPr>
          <w:rFonts w:ascii="仿宋_GB2312" w:eastAsia="仿宋_GB2312" w:hAnsi="仿宋" w:cs="Times New Roman"/>
          <w:sz w:val="32"/>
          <w:szCs w:val="32"/>
        </w:rPr>
      </w:pPr>
      <w:r w:rsidRPr="005A3F56">
        <w:rPr>
          <w:rFonts w:ascii="仿宋_GB2312" w:eastAsia="仿宋_GB2312" w:hAnsi="仿宋" w:cs="Times New Roman" w:hint="eastAsia"/>
          <w:sz w:val="32"/>
          <w:szCs w:val="32"/>
        </w:rPr>
        <w:t>专家组认为上海市虹口区凉城第四小学立足“老百姓家门口的高品质学校”定位，以党组织领导的校长负责制为核</w:t>
      </w:r>
      <w:r w:rsidRPr="005A3F56">
        <w:rPr>
          <w:rFonts w:ascii="仿宋_GB2312" w:eastAsia="仿宋_GB2312" w:hAnsi="仿宋" w:cs="Times New Roman" w:hint="eastAsia"/>
          <w:sz w:val="32"/>
          <w:szCs w:val="32"/>
        </w:rPr>
        <w:lastRenderedPageBreak/>
        <w:t>心，坚守“以师为基，以生为本，追求师生共同发展”的办学理念，围绕立德树人根本任务，从管理、课程、师资建设等多维度发力，推动学校治理转型，致力于培养“明德、乐学、强智、富能”的乐智融创少年，尤其在融合教育、学生体质健康等方面成效突出，获得师生、家长及社区的广泛认同。</w:t>
      </w:r>
    </w:p>
    <w:p w:rsidR="005A3F56" w:rsidRPr="005A3F56" w:rsidRDefault="005A3F56" w:rsidP="005A3F56">
      <w:pPr>
        <w:spacing w:line="576" w:lineRule="exact"/>
        <w:ind w:firstLineChars="200" w:firstLine="640"/>
        <w:rPr>
          <w:rFonts w:ascii="仿宋_GB2312" w:eastAsia="仿宋_GB2312" w:hAnsi="仿宋" w:cs="Times New Roman"/>
          <w:sz w:val="32"/>
          <w:szCs w:val="32"/>
        </w:rPr>
      </w:pPr>
      <w:r w:rsidRPr="005A3F56">
        <w:rPr>
          <w:rFonts w:ascii="仿宋_GB2312" w:eastAsia="仿宋_GB2312" w:hAnsi="仿宋" w:cs="Times New Roman" w:hint="eastAsia"/>
          <w:sz w:val="32"/>
          <w:szCs w:val="32"/>
        </w:rPr>
        <w:t>专家组认为，学校的规划与实施匹配程度较好，规划目标的达成度较高。</w:t>
      </w:r>
    </w:p>
    <w:p w:rsidR="005A3F56" w:rsidRPr="005A3F56" w:rsidRDefault="005A3F56" w:rsidP="005A3F56">
      <w:pPr>
        <w:spacing w:line="576" w:lineRule="exact"/>
        <w:ind w:firstLineChars="200" w:firstLine="640"/>
        <w:rPr>
          <w:rFonts w:ascii="黑体" w:eastAsia="黑体" w:hAnsi="黑体" w:cs="Times New Roman"/>
          <w:sz w:val="32"/>
          <w:szCs w:val="32"/>
        </w:rPr>
      </w:pPr>
      <w:r w:rsidRPr="005A3F56">
        <w:rPr>
          <w:rFonts w:ascii="黑体" w:eastAsia="黑体" w:hAnsi="黑体" w:cs="Times New Roman" w:hint="eastAsia"/>
          <w:sz w:val="32"/>
          <w:szCs w:val="32"/>
        </w:rPr>
        <w:t>二、成绩与经验</w:t>
      </w:r>
    </w:p>
    <w:p w:rsidR="005A3F56" w:rsidRPr="005A3F56" w:rsidRDefault="005A3F56" w:rsidP="005A3F56">
      <w:pPr>
        <w:spacing w:line="576" w:lineRule="exact"/>
        <w:ind w:firstLineChars="200" w:firstLine="640"/>
        <w:rPr>
          <w:rFonts w:ascii="楷体_GB2312" w:eastAsia="楷体_GB2312" w:hAnsi="仿宋" w:cs="Times New Roman"/>
          <w:sz w:val="32"/>
          <w:szCs w:val="32"/>
        </w:rPr>
      </w:pPr>
      <w:r w:rsidRPr="005A3F56">
        <w:rPr>
          <w:rFonts w:ascii="楷体_GB2312" w:eastAsia="楷体_GB2312" w:hAnsi="仿宋" w:cs="Times New Roman" w:hint="eastAsia"/>
          <w:sz w:val="32"/>
          <w:szCs w:val="32"/>
        </w:rPr>
        <w:t>（一）</w:t>
      </w:r>
      <w:r w:rsidRPr="005A3F56">
        <w:rPr>
          <w:rFonts w:ascii="楷体_GB2312" w:eastAsia="楷体_GB2312" w:hAnsi="仿宋" w:cs="Times New Roman" w:hint="eastAsia"/>
          <w:sz w:val="32"/>
          <w:szCs w:val="32"/>
        </w:rPr>
        <w:tab/>
        <w:t>学校治理与发展</w:t>
      </w:r>
    </w:p>
    <w:p w:rsidR="005A3F56" w:rsidRPr="005A3F56" w:rsidRDefault="005A3F56" w:rsidP="005A3F56">
      <w:pPr>
        <w:spacing w:line="576" w:lineRule="exact"/>
        <w:ind w:firstLineChars="200" w:firstLine="640"/>
        <w:rPr>
          <w:rFonts w:ascii="仿宋_GB2312" w:eastAsia="仿宋_GB2312" w:hAnsi="仿宋" w:cs="Times New Roman"/>
          <w:sz w:val="32"/>
          <w:szCs w:val="32"/>
        </w:rPr>
      </w:pPr>
      <w:r w:rsidRPr="005A3F56">
        <w:rPr>
          <w:rFonts w:ascii="仿宋_GB2312" w:eastAsia="仿宋_GB2312" w:hAnsi="仿宋" w:cs="Times New Roman" w:hint="eastAsia"/>
          <w:sz w:val="32"/>
          <w:szCs w:val="32"/>
        </w:rPr>
        <w:t>1.乐智赋能提质，成果辐射全国全域</w:t>
      </w:r>
    </w:p>
    <w:p w:rsidR="005A3F56" w:rsidRPr="005A3F56" w:rsidRDefault="005A3F56" w:rsidP="005A3F56">
      <w:pPr>
        <w:spacing w:line="576" w:lineRule="exact"/>
        <w:ind w:firstLineChars="200" w:firstLine="640"/>
        <w:rPr>
          <w:rFonts w:ascii="仿宋_GB2312" w:eastAsia="仿宋_GB2312" w:hAnsi="仿宋" w:cs="Times New Roman"/>
          <w:sz w:val="32"/>
          <w:szCs w:val="32"/>
        </w:rPr>
      </w:pPr>
      <w:r w:rsidRPr="005A3F56">
        <w:rPr>
          <w:rFonts w:ascii="仿宋_GB2312" w:eastAsia="仿宋_GB2312" w:hAnsi="仿宋" w:cs="Times New Roman" w:hint="eastAsia"/>
          <w:sz w:val="32"/>
          <w:szCs w:val="32"/>
        </w:rPr>
        <w:t>凉城四小以“乐智”教育为核心特色，锚定“老百姓家门口的高品质学校”定位，围绕“乐润成长，智启新程”主线，从管理、课程、师资多维度发力，推动办学水平稳步攀升。学校依托两轮区级重点课题，以教科研驱动“乐智课堂”实践，紧扣“双新”改革与数字化转型需求，构建数智化、全纳性、特色化课程教学范式，在课程体系、教学模式、校本教研上持续探索，落实学生核心素养培育。办学成果丰硕，学校成为教育部“基于教学改革、融合信息技术的新型教与学模式”项目试验区实验校，先后获评全国篮球特色学校、教育部-联合国儿童基金会“中国融合教育推进—教师专业能力提升项目”示范校，上海市中小学劳动教育特色学校，上海市特殊教育先进集体等多项市级以上荣誉，融合教育特色在全市颇具知名度，相关经验已在全国形成一定影响力，2025年获虹口区教育系统集体记功奖。</w:t>
      </w:r>
    </w:p>
    <w:p w:rsidR="005A3F56" w:rsidRPr="005A3F56" w:rsidRDefault="005A3F56" w:rsidP="005A3F56">
      <w:pPr>
        <w:spacing w:line="576" w:lineRule="exact"/>
        <w:ind w:firstLineChars="200" w:firstLine="640"/>
        <w:rPr>
          <w:rFonts w:ascii="仿宋_GB2312" w:eastAsia="仿宋_GB2312" w:hAnsi="仿宋" w:cs="Times New Roman"/>
          <w:sz w:val="32"/>
          <w:szCs w:val="32"/>
        </w:rPr>
      </w:pPr>
      <w:r w:rsidRPr="005A3F56">
        <w:rPr>
          <w:rFonts w:ascii="仿宋_GB2312" w:eastAsia="仿宋_GB2312" w:hAnsi="仿宋" w:cs="Times New Roman" w:hint="eastAsia"/>
          <w:sz w:val="32"/>
          <w:szCs w:val="32"/>
        </w:rPr>
        <w:t>2.制度健全保障，办学规范运转有序</w:t>
      </w:r>
    </w:p>
    <w:p w:rsidR="005A3F56" w:rsidRPr="005A3F56" w:rsidRDefault="005A3F56" w:rsidP="005A3F56">
      <w:pPr>
        <w:spacing w:line="576" w:lineRule="exact"/>
        <w:ind w:firstLineChars="200" w:firstLine="640"/>
        <w:rPr>
          <w:rFonts w:ascii="仿宋_GB2312" w:eastAsia="仿宋_GB2312" w:hAnsi="仿宋" w:cs="Times New Roman"/>
          <w:sz w:val="32"/>
          <w:szCs w:val="32"/>
        </w:rPr>
      </w:pPr>
      <w:r w:rsidRPr="005A3F56">
        <w:rPr>
          <w:rFonts w:ascii="仿宋_GB2312" w:eastAsia="仿宋_GB2312" w:hAnsi="仿宋" w:cs="Times New Roman" w:hint="eastAsia"/>
          <w:sz w:val="32"/>
          <w:szCs w:val="32"/>
        </w:rPr>
        <w:t>学校建立完善的制度管理体系，为规范办学提供坚实保障。规章制度迭代更新及时，目前已形成包含4篇125个文件的成册制度，另有19篇各类预案，覆盖党建、行政管理、教学科研等各个领域。会议记录等资料佐证制度在办学中有效落实，问卷统计显示，师生对学校制度及落实成效的满意率均达98%以上。同时，校园人际环境和谐，家校社合作顺畅，家长对学校办学思想认可度高，为学校发展营造了良好氛围。</w:t>
      </w:r>
    </w:p>
    <w:p w:rsidR="005A3F56" w:rsidRPr="005A3F56" w:rsidRDefault="005A3F56" w:rsidP="005A3F56">
      <w:pPr>
        <w:spacing w:line="576" w:lineRule="exact"/>
        <w:ind w:firstLineChars="200" w:firstLine="640"/>
        <w:rPr>
          <w:rFonts w:ascii="仿宋_GB2312" w:eastAsia="仿宋_GB2312" w:hAnsi="仿宋" w:cs="Times New Roman"/>
          <w:sz w:val="32"/>
          <w:szCs w:val="32"/>
        </w:rPr>
      </w:pPr>
      <w:r w:rsidRPr="005A3F56">
        <w:rPr>
          <w:rFonts w:ascii="仿宋_GB2312" w:eastAsia="仿宋_GB2312" w:hAnsi="仿宋" w:cs="Times New Roman" w:hint="eastAsia"/>
          <w:sz w:val="32"/>
          <w:szCs w:val="32"/>
        </w:rPr>
        <w:t>3.质量提升内涵，师生发展成果显著</w:t>
      </w:r>
    </w:p>
    <w:p w:rsidR="005A3F56" w:rsidRPr="005A3F56" w:rsidRDefault="005A3F56" w:rsidP="005A3F56">
      <w:pPr>
        <w:spacing w:line="576" w:lineRule="exact"/>
        <w:ind w:firstLineChars="200" w:firstLine="640"/>
        <w:rPr>
          <w:rFonts w:ascii="仿宋_GB2312" w:eastAsia="仿宋_GB2312" w:hAnsi="仿宋" w:cs="Times New Roman"/>
          <w:sz w:val="32"/>
          <w:szCs w:val="32"/>
        </w:rPr>
      </w:pPr>
      <w:r w:rsidRPr="005A3F56">
        <w:rPr>
          <w:rFonts w:ascii="仿宋_GB2312" w:eastAsia="仿宋_GB2312" w:hAnsi="仿宋" w:cs="Times New Roman" w:hint="eastAsia"/>
          <w:sz w:val="32"/>
          <w:szCs w:val="32"/>
        </w:rPr>
        <w:t>学校聚焦办学质量提升，通过承担前沿项目推进改革，先后成为虹口区数字智慧校园建设实验校、虹口区项目化学习基地校，借助新技术、新学法实现高质量育人。办学质量成效显著，绿标测试成绩高于全区平均水平，体育质量位居全区前列，2023年荣获虹教系统首届局长奖。师生发展成果突出，学生绿色指标测试连续多年大幅高于市区水平，累计获市级奖项15项、区级奖项80余项；教师通过“乐者—智者—慧者”分层培育体系快速成长，在市区级竞赛、课题研究中成果丰硕，形成“雁阵效应”。</w:t>
      </w:r>
    </w:p>
    <w:p w:rsidR="005A3F56" w:rsidRPr="005A3F56" w:rsidRDefault="005A3F56" w:rsidP="005A3F56">
      <w:pPr>
        <w:spacing w:line="576" w:lineRule="exact"/>
        <w:ind w:firstLineChars="200" w:firstLine="640"/>
        <w:rPr>
          <w:rFonts w:ascii="仿宋_GB2312" w:eastAsia="仿宋_GB2312" w:hAnsi="仿宋" w:cs="Times New Roman"/>
          <w:sz w:val="32"/>
          <w:szCs w:val="32"/>
        </w:rPr>
      </w:pPr>
      <w:r w:rsidRPr="005A3F56">
        <w:rPr>
          <w:rFonts w:ascii="仿宋_GB2312" w:eastAsia="仿宋_GB2312" w:hAnsi="仿宋" w:cs="Times New Roman" w:hint="eastAsia"/>
          <w:sz w:val="32"/>
          <w:szCs w:val="32"/>
        </w:rPr>
        <w:t>4.多维协同聚力，育人成效彰显特色</w:t>
      </w:r>
    </w:p>
    <w:p w:rsidR="005A3F56" w:rsidRPr="005A3F56" w:rsidRDefault="005A3F56" w:rsidP="005A3F56">
      <w:pPr>
        <w:spacing w:line="576" w:lineRule="exact"/>
        <w:ind w:firstLineChars="200" w:firstLine="640"/>
        <w:rPr>
          <w:rFonts w:ascii="仿宋_GB2312" w:eastAsia="仿宋_GB2312" w:hAnsi="仿宋" w:cs="Times New Roman"/>
          <w:sz w:val="32"/>
          <w:szCs w:val="32"/>
        </w:rPr>
      </w:pPr>
      <w:r w:rsidRPr="005A3F56">
        <w:rPr>
          <w:rFonts w:ascii="仿宋_GB2312" w:eastAsia="仿宋_GB2312" w:hAnsi="仿宋" w:cs="Times New Roman" w:hint="eastAsia"/>
          <w:sz w:val="32"/>
          <w:szCs w:val="32"/>
        </w:rPr>
        <w:t>学校构建“乐润课堂、乐育全人、乐修师德、乐融空间、乐数赋能”五大发展路径，全方位落实“师生共同发展”办学理念。教学上，打造“趣教结合、融合共生、数智赋能”的乐智课堂模式，依托“双路径+1”教研机制推动国家课程校本化，开发5个AI智能体并深化跨学科项目化教学，多项案例获市区级奖项；育人上，构建全链条德育体系，打造红色教育、劳动教育特色品牌；空间与数智建设上，打造特色科创空间，推进数字化转型三部曲，相关经验</w:t>
      </w:r>
      <w:r w:rsidR="002A4DDB">
        <w:rPr>
          <w:rFonts w:ascii="仿宋_GB2312" w:eastAsia="仿宋_GB2312" w:hAnsi="仿宋" w:cs="Times New Roman" w:hint="eastAsia"/>
          <w:sz w:val="32"/>
          <w:szCs w:val="32"/>
        </w:rPr>
        <w:t>吸引</w:t>
      </w:r>
      <w:r w:rsidRPr="005A3F56">
        <w:rPr>
          <w:rFonts w:ascii="仿宋_GB2312" w:eastAsia="仿宋_GB2312" w:hAnsi="仿宋" w:cs="Times New Roman" w:hint="eastAsia"/>
          <w:sz w:val="32"/>
          <w:szCs w:val="32"/>
        </w:rPr>
        <w:t>兄弟学校</w:t>
      </w:r>
      <w:r w:rsidR="002A4DDB">
        <w:rPr>
          <w:rFonts w:ascii="仿宋_GB2312" w:eastAsia="仿宋_GB2312" w:hAnsi="仿宋" w:cs="Times New Roman" w:hint="eastAsia"/>
          <w:sz w:val="32"/>
          <w:szCs w:val="32"/>
        </w:rPr>
        <w:t>前来</w:t>
      </w:r>
      <w:r w:rsidRPr="005A3F56">
        <w:rPr>
          <w:rFonts w:ascii="仿宋_GB2312" w:eastAsia="仿宋_GB2312" w:hAnsi="仿宋" w:cs="Times New Roman" w:hint="eastAsia"/>
          <w:sz w:val="32"/>
          <w:szCs w:val="32"/>
        </w:rPr>
        <w:t>交流学习，为“乐智教育”落地提供坚实支撑。</w:t>
      </w:r>
    </w:p>
    <w:p w:rsidR="005A3F56" w:rsidRPr="005A3F56" w:rsidRDefault="005A3F56" w:rsidP="005A3F56">
      <w:pPr>
        <w:spacing w:line="576" w:lineRule="exact"/>
        <w:ind w:firstLineChars="200" w:firstLine="640"/>
        <w:rPr>
          <w:rFonts w:ascii="楷体_GB2312" w:eastAsia="楷体_GB2312" w:hAnsi="仿宋" w:cs="Times New Roman"/>
          <w:sz w:val="32"/>
          <w:szCs w:val="32"/>
        </w:rPr>
      </w:pPr>
      <w:r w:rsidRPr="005A3F56">
        <w:rPr>
          <w:rFonts w:ascii="楷体_GB2312" w:eastAsia="楷体_GB2312" w:hAnsi="仿宋" w:cs="Times New Roman" w:hint="eastAsia"/>
          <w:sz w:val="32"/>
          <w:szCs w:val="32"/>
        </w:rPr>
        <w:t>（二）</w:t>
      </w:r>
      <w:r w:rsidRPr="005A3F56">
        <w:rPr>
          <w:rFonts w:ascii="楷体_GB2312" w:eastAsia="楷体_GB2312" w:hAnsi="仿宋" w:cs="Times New Roman" w:hint="eastAsia"/>
          <w:sz w:val="32"/>
          <w:szCs w:val="32"/>
        </w:rPr>
        <w:tab/>
        <w:t>课程教学</w:t>
      </w:r>
    </w:p>
    <w:p w:rsidR="005A3F56" w:rsidRPr="005A3F56" w:rsidRDefault="005A3F56" w:rsidP="005A3F56">
      <w:pPr>
        <w:spacing w:line="576" w:lineRule="exact"/>
        <w:ind w:firstLineChars="200" w:firstLine="640"/>
        <w:rPr>
          <w:rFonts w:ascii="仿宋_GB2312" w:eastAsia="仿宋_GB2312" w:hAnsi="仿宋" w:cs="Times New Roman"/>
          <w:sz w:val="32"/>
          <w:szCs w:val="32"/>
        </w:rPr>
      </w:pPr>
      <w:r w:rsidRPr="005A3F56">
        <w:rPr>
          <w:rFonts w:ascii="仿宋_GB2312" w:eastAsia="仿宋_GB2312" w:hAnsi="仿宋" w:cs="Times New Roman" w:hint="eastAsia"/>
          <w:sz w:val="32"/>
          <w:szCs w:val="32"/>
        </w:rPr>
        <w:t>1.践行课改理念，构建特色课程体系</w:t>
      </w:r>
    </w:p>
    <w:p w:rsidR="005A3F56" w:rsidRPr="005A3F56" w:rsidRDefault="005A3F56" w:rsidP="005A3F56">
      <w:pPr>
        <w:spacing w:line="576" w:lineRule="exact"/>
        <w:ind w:firstLineChars="200" w:firstLine="640"/>
        <w:rPr>
          <w:rFonts w:ascii="仿宋_GB2312" w:eastAsia="仿宋_GB2312" w:hAnsi="仿宋" w:cs="Times New Roman"/>
          <w:sz w:val="32"/>
          <w:szCs w:val="32"/>
        </w:rPr>
      </w:pPr>
      <w:r w:rsidRPr="005A3F56">
        <w:rPr>
          <w:rFonts w:ascii="仿宋_GB2312" w:eastAsia="仿宋_GB2312" w:hAnsi="仿宋" w:cs="Times New Roman" w:hint="eastAsia"/>
          <w:sz w:val="32"/>
          <w:szCs w:val="32"/>
        </w:rPr>
        <w:t>学校严格落实国家课程方案要求，规范开足开齐三类课程，构建起“国家课程筑基、地方课程拓维、校本课程扬长”的课程体系，实现课程有机衔接、深度融合，为学生全面发展奠定坚实基础。国家课程落地扎实，严格对标课程标准，推动学科知识与学生生活实践、时代发展紧密结合，着力提升实施质量；地方课程精准发力，结合区域要求与学校定位，在四年级开设人工智能基础课程，以项目化任务驱动教学，筑牢学生科技素养根基；校本课程特色凸显，优化整合为“明、乐、智、能”四大模块，创新采用“双循环”走班、“爸爸课堂”等实施模式，实现学生参与率100%，充分挖掘学生潜能、促进个性化发展。100%的教师认可学校课程落实成效，99.4%的家长认为学校能严格落实国家课程相关规定，以上数据均反映了课时与质量保障有力。</w:t>
      </w:r>
    </w:p>
    <w:p w:rsidR="005A3F56" w:rsidRPr="005A3F56" w:rsidRDefault="005A3F56" w:rsidP="005A3F56">
      <w:pPr>
        <w:spacing w:line="576" w:lineRule="exact"/>
        <w:ind w:firstLineChars="200" w:firstLine="640"/>
        <w:rPr>
          <w:rFonts w:ascii="仿宋_GB2312" w:eastAsia="仿宋_GB2312" w:hAnsi="仿宋" w:cs="Times New Roman"/>
          <w:sz w:val="32"/>
          <w:szCs w:val="32"/>
        </w:rPr>
      </w:pPr>
      <w:r w:rsidRPr="005A3F56">
        <w:rPr>
          <w:rFonts w:ascii="仿宋_GB2312" w:eastAsia="仿宋_GB2312" w:hAnsi="仿宋" w:cs="Times New Roman" w:hint="eastAsia"/>
          <w:sz w:val="32"/>
          <w:szCs w:val="32"/>
        </w:rPr>
        <w:t>2.深化教学改革，提升全纳课堂质量</w:t>
      </w:r>
    </w:p>
    <w:p w:rsidR="005A3F56" w:rsidRPr="005A3F56" w:rsidRDefault="005A3F56" w:rsidP="005A3F56">
      <w:pPr>
        <w:spacing w:line="576" w:lineRule="exact"/>
        <w:ind w:firstLineChars="200" w:firstLine="640"/>
        <w:rPr>
          <w:rFonts w:ascii="仿宋_GB2312" w:eastAsia="仿宋_GB2312" w:hAnsi="仿宋" w:cs="Times New Roman"/>
          <w:sz w:val="32"/>
          <w:szCs w:val="32"/>
        </w:rPr>
      </w:pPr>
      <w:r w:rsidRPr="005A3F56">
        <w:rPr>
          <w:rFonts w:ascii="仿宋_GB2312" w:eastAsia="仿宋_GB2312" w:hAnsi="仿宋" w:cs="Times New Roman" w:hint="eastAsia"/>
          <w:sz w:val="32"/>
          <w:szCs w:val="32"/>
        </w:rPr>
        <w:t>学校以“乐智课堂”建设为核心抓手，构建起规范有效、趣教结合、融合共生、数智赋能、教研助推的教学体系，强化教学过程管理，推动课堂教学质量稳步提升。学校健全教学管理机制，推行“双路径+1”研磨机制，严格落实五环节规范化管理，确保教学各环节有序高效；构建“三级支持”融合课堂体系，兼顾不同层次、不同需求学生，切实保障教育公平，推动全纳教育落地；依托教育数字化转型，实现备课、授课、评价全流程数据驱动，开发多个AI智能体，运用多模态数据与人工智能技术开展课堂诊断，建立五维度教学评价模型，推动教学评价从经验判断向证据支撑转变，提升教学决策精准度。问卷数据显示，100%的教师认可综合素质评价、发展性评价的导向作用；99.4%的学生反馈能从课堂中获得充分的讨论、探究、质疑、合作交流机会；94.9%的家长对学校教学质量表示满意或比较满意。</w:t>
      </w:r>
    </w:p>
    <w:p w:rsidR="005A3F56" w:rsidRPr="005A3F56" w:rsidRDefault="005A3F56" w:rsidP="005A3F56">
      <w:pPr>
        <w:spacing w:line="576" w:lineRule="exact"/>
        <w:ind w:firstLineChars="200" w:firstLine="640"/>
        <w:rPr>
          <w:rFonts w:ascii="仿宋_GB2312" w:eastAsia="仿宋_GB2312" w:hAnsi="仿宋" w:cs="Times New Roman"/>
          <w:sz w:val="32"/>
          <w:szCs w:val="32"/>
        </w:rPr>
      </w:pPr>
      <w:r w:rsidRPr="005A3F56">
        <w:rPr>
          <w:rFonts w:ascii="仿宋_GB2312" w:eastAsia="仿宋_GB2312" w:hAnsi="仿宋" w:cs="Times New Roman" w:hint="eastAsia"/>
          <w:sz w:val="32"/>
          <w:szCs w:val="32"/>
        </w:rPr>
        <w:t>3.聚焦项目驱动，构建研教融合范式</w:t>
      </w:r>
    </w:p>
    <w:p w:rsidR="005A3F56" w:rsidRPr="005A3F56" w:rsidRDefault="005A3F56" w:rsidP="005A3F56">
      <w:pPr>
        <w:spacing w:line="576" w:lineRule="exact"/>
        <w:ind w:firstLineChars="200" w:firstLine="640"/>
        <w:rPr>
          <w:rFonts w:ascii="仿宋_GB2312" w:eastAsia="仿宋_GB2312" w:hAnsi="仿宋" w:cs="Times New Roman"/>
          <w:sz w:val="32"/>
          <w:szCs w:val="32"/>
        </w:rPr>
      </w:pPr>
      <w:r w:rsidRPr="005A3F56">
        <w:rPr>
          <w:rFonts w:ascii="仿宋_GB2312" w:eastAsia="仿宋_GB2312" w:hAnsi="仿宋" w:cs="Times New Roman" w:hint="eastAsia"/>
          <w:sz w:val="32"/>
          <w:szCs w:val="32"/>
        </w:rPr>
        <w:t>学校打破科研与教学、教师与学生之间的壁垒，以项目为核心载体，创新科研落地方式，构建“科研引领、师生协同、研用闭环”的教科研新生态，推动科研成果有效反哺教学提质，实现师生双向成长。坚持项目化学习“双向覆盖、研用融合、校本导向”核心属性，形成师生联动、教学相长的良好局面。教师以项目为依托聚焦数智化深度学习、跨学科融合等方向探索教学策略，学生在《乐智建筑师——上海地标建筑》《跟我游江湾》等特色项目中提升知识应用、创新思维与协作能力，实现师生同频共振；遵循“起步探索—系统推进—品牌成型”的阶段化路径，构建“研究—实践—优化”的闭环机制，确保项目化学习有序深化；深度挖掘校本与本土文化资源，设计“低段趣味体验—中段探究实践—高段创新应用”的分层项目体系，形成《“育”见系列案例集》等可复制、可推广的实践成果。</w:t>
      </w:r>
    </w:p>
    <w:p w:rsidR="005A3F56" w:rsidRPr="005A3F56" w:rsidRDefault="005A3F56" w:rsidP="005A3F56">
      <w:pPr>
        <w:spacing w:line="576" w:lineRule="exact"/>
        <w:ind w:firstLineChars="200" w:firstLine="640"/>
        <w:rPr>
          <w:rFonts w:ascii="楷体_GB2312" w:eastAsia="楷体_GB2312" w:hAnsi="仿宋" w:cs="Times New Roman"/>
          <w:sz w:val="32"/>
          <w:szCs w:val="32"/>
        </w:rPr>
      </w:pPr>
      <w:r w:rsidRPr="005A3F56">
        <w:rPr>
          <w:rFonts w:ascii="楷体_GB2312" w:eastAsia="楷体_GB2312" w:hAnsi="仿宋" w:cs="Times New Roman" w:hint="eastAsia"/>
          <w:sz w:val="32"/>
          <w:szCs w:val="32"/>
        </w:rPr>
        <w:t>（三）</w:t>
      </w:r>
      <w:r w:rsidRPr="005A3F56">
        <w:rPr>
          <w:rFonts w:ascii="楷体_GB2312" w:eastAsia="楷体_GB2312" w:hAnsi="仿宋" w:cs="Times New Roman" w:hint="eastAsia"/>
          <w:sz w:val="32"/>
          <w:szCs w:val="32"/>
        </w:rPr>
        <w:tab/>
        <w:t>队伍建设与资源保障</w:t>
      </w:r>
    </w:p>
    <w:p w:rsidR="005A3F56" w:rsidRPr="005A3F56" w:rsidRDefault="005A3F56" w:rsidP="005A3F56">
      <w:pPr>
        <w:spacing w:line="576" w:lineRule="exact"/>
        <w:ind w:firstLineChars="200" w:firstLine="640"/>
        <w:rPr>
          <w:rFonts w:ascii="仿宋_GB2312" w:eastAsia="仿宋_GB2312" w:hAnsi="仿宋" w:cs="Times New Roman"/>
          <w:sz w:val="32"/>
          <w:szCs w:val="32"/>
        </w:rPr>
      </w:pPr>
      <w:r w:rsidRPr="005A3F56">
        <w:rPr>
          <w:rFonts w:ascii="仿宋_GB2312" w:eastAsia="仿宋_GB2312" w:hAnsi="仿宋" w:cs="Times New Roman" w:hint="eastAsia"/>
          <w:sz w:val="32"/>
          <w:szCs w:val="32"/>
        </w:rPr>
        <w:t>1.分层培育师资，构建梯度成长体系</w:t>
      </w:r>
    </w:p>
    <w:p w:rsidR="005A3F56" w:rsidRPr="005A3F56" w:rsidRDefault="005A3F56" w:rsidP="005A3F56">
      <w:pPr>
        <w:spacing w:line="576" w:lineRule="exact"/>
        <w:ind w:firstLineChars="200" w:firstLine="640"/>
        <w:rPr>
          <w:rFonts w:ascii="仿宋_GB2312" w:eastAsia="仿宋_GB2312" w:hAnsi="仿宋" w:cs="Times New Roman"/>
          <w:sz w:val="32"/>
          <w:szCs w:val="32"/>
        </w:rPr>
      </w:pPr>
      <w:r w:rsidRPr="005A3F56">
        <w:rPr>
          <w:rFonts w:ascii="仿宋_GB2312" w:eastAsia="仿宋_GB2312" w:hAnsi="仿宋" w:cs="Times New Roman" w:hint="eastAsia"/>
          <w:sz w:val="32"/>
          <w:szCs w:val="32"/>
        </w:rPr>
        <w:t>学校以“师为基”为导向，针对教师队伍梯队不完善、骨干辐射不足的问题，创新构建“乐者—智者—慧者”递进式培养模式。通过顶层设计与分类指导、梯度发展、双向培养的策略，为不同层级教师匹配个性化成长路径：“乐者”侧重夯实教学基本功，“智者”聚焦专业能力提升，“慧者”致力于形成教学特色与品牌。这种分层培育模式既夯实了师资根基，又满足了各阶段教师的发展需求，切实践行师生共同发展的办学追求。</w:t>
      </w:r>
    </w:p>
    <w:p w:rsidR="005A3F56" w:rsidRPr="005A3F56" w:rsidRDefault="005A3F56" w:rsidP="005A3F56">
      <w:pPr>
        <w:spacing w:line="576" w:lineRule="exact"/>
        <w:ind w:firstLineChars="200" w:firstLine="640"/>
        <w:rPr>
          <w:rFonts w:ascii="仿宋_GB2312" w:eastAsia="仿宋_GB2312" w:hAnsi="仿宋" w:cs="Times New Roman"/>
          <w:sz w:val="32"/>
          <w:szCs w:val="32"/>
        </w:rPr>
      </w:pPr>
      <w:r w:rsidRPr="005A3F56">
        <w:rPr>
          <w:rFonts w:ascii="仿宋_GB2312" w:eastAsia="仿宋_GB2312" w:hAnsi="仿宋" w:cs="Times New Roman" w:hint="eastAsia"/>
          <w:sz w:val="32"/>
          <w:szCs w:val="32"/>
        </w:rPr>
        <w:t>2.德能并举赋能，激活专业成长动能</w:t>
      </w:r>
    </w:p>
    <w:p w:rsidR="005A3F56" w:rsidRPr="005A3F56" w:rsidRDefault="005A3F56" w:rsidP="005A3F56">
      <w:pPr>
        <w:spacing w:line="576" w:lineRule="exact"/>
        <w:ind w:firstLineChars="200" w:firstLine="640"/>
        <w:rPr>
          <w:rFonts w:ascii="仿宋_GB2312" w:eastAsia="仿宋_GB2312" w:hAnsi="仿宋" w:cs="Times New Roman"/>
          <w:sz w:val="32"/>
          <w:szCs w:val="32"/>
        </w:rPr>
      </w:pPr>
      <w:r w:rsidRPr="005A3F56">
        <w:rPr>
          <w:rFonts w:ascii="仿宋_GB2312" w:eastAsia="仿宋_GB2312" w:hAnsi="仿宋" w:cs="Times New Roman" w:hint="eastAsia"/>
          <w:sz w:val="32"/>
          <w:szCs w:val="32"/>
        </w:rPr>
        <w:t>学校坚持“乐修师德，智精师能”，以党员教师为先锋形成“雁阵效应”：党员人人有课题、个个带项目，牵头区级重点课题2项、区级一般及青年课题30余项，带动全员投身教科研。教师队伍师德师风优良，多人获评虹口区“十佳”班主任、上海市优秀园丁，专业能力与师德素养同步提升。在问卷与座谈中，师生对教师队伍的满意度较高，为“乐智教育”的落地提供了坚实的师资支撑。</w:t>
      </w:r>
    </w:p>
    <w:p w:rsidR="005A3F56" w:rsidRPr="005A3F56" w:rsidRDefault="005A3F56" w:rsidP="005A3F56">
      <w:pPr>
        <w:spacing w:line="576" w:lineRule="exact"/>
        <w:ind w:firstLineChars="200" w:firstLine="640"/>
        <w:rPr>
          <w:rFonts w:ascii="仿宋_GB2312" w:eastAsia="仿宋_GB2312" w:hAnsi="仿宋" w:cs="Times New Roman"/>
          <w:sz w:val="32"/>
          <w:szCs w:val="32"/>
        </w:rPr>
      </w:pPr>
      <w:r w:rsidRPr="005A3F56">
        <w:rPr>
          <w:rFonts w:ascii="仿宋_GB2312" w:eastAsia="仿宋_GB2312" w:hAnsi="仿宋" w:cs="Times New Roman" w:hint="eastAsia"/>
          <w:sz w:val="32"/>
          <w:szCs w:val="32"/>
        </w:rPr>
        <w:t>3.资源多维保障，筑牢办学发展根基</w:t>
      </w:r>
    </w:p>
    <w:p w:rsidR="005A3F56" w:rsidRPr="005A3F56" w:rsidRDefault="005A3F56" w:rsidP="005A3F56">
      <w:pPr>
        <w:spacing w:line="576" w:lineRule="exact"/>
        <w:ind w:firstLineChars="200" w:firstLine="640"/>
        <w:rPr>
          <w:rFonts w:ascii="仿宋_GB2312" w:eastAsia="仿宋_GB2312" w:hAnsi="仿宋" w:cs="Times New Roman"/>
          <w:sz w:val="32"/>
          <w:szCs w:val="32"/>
        </w:rPr>
      </w:pPr>
      <w:r w:rsidRPr="005A3F56">
        <w:rPr>
          <w:rFonts w:ascii="仿宋_GB2312" w:eastAsia="仿宋_GB2312" w:hAnsi="仿宋" w:cs="Times New Roman" w:hint="eastAsia"/>
          <w:sz w:val="32"/>
          <w:szCs w:val="32"/>
        </w:rPr>
        <w:t>学校在资源保障方面体系完善、执行规范，为办学发展提供坚实支撑。资产管理与财务制度落实严谨，严格执行财务管理、资产管理制度，设施设备配置匹配学校发展需求，秉持“人尽其力、物尽其用”原则强化内部控制；资金使用严守审批流程，按计划合理调配、专款专用，重大资金支出经“三重一大”会议讨论，自行采购大件商品依规在教育局平台申报。同时，学校以“空间即课程”为理念推进“一校一品”建设，打造“乐之廊”“智之廊”“慧之廊”三大科创空间及“乐智草本花慧园”“一平米种子博物馆”等特色实践区，所有普通教室均配备希沃交互式教学白板，实现物理空间与数字空间的初步融合，为跨学科教学、个性化学习及“做学融合”实践提供了坚实支撑。学校将治理要求与办学特色深度融合，为学生“做学融合”实践搭建优质平台，进一步放大学习场所的实际效能。</w:t>
      </w:r>
    </w:p>
    <w:p w:rsidR="005A3F56" w:rsidRPr="005A3F56" w:rsidRDefault="005A3F56" w:rsidP="005A3F56">
      <w:pPr>
        <w:spacing w:line="576" w:lineRule="exact"/>
        <w:ind w:firstLineChars="200" w:firstLine="640"/>
        <w:rPr>
          <w:rFonts w:ascii="仿宋_GB2312" w:eastAsia="仿宋_GB2312" w:hAnsi="仿宋" w:cs="Times New Roman"/>
          <w:sz w:val="32"/>
          <w:szCs w:val="32"/>
        </w:rPr>
      </w:pPr>
      <w:r w:rsidRPr="005A3F56">
        <w:rPr>
          <w:rFonts w:ascii="仿宋_GB2312" w:eastAsia="仿宋_GB2312" w:hAnsi="仿宋" w:cs="Times New Roman" w:hint="eastAsia"/>
          <w:sz w:val="32"/>
          <w:szCs w:val="32"/>
        </w:rPr>
        <w:t>（四）</w:t>
      </w:r>
      <w:r w:rsidRPr="005A3F56">
        <w:rPr>
          <w:rFonts w:ascii="仿宋_GB2312" w:eastAsia="仿宋_GB2312" w:hAnsi="仿宋" w:cs="Times New Roman" w:hint="eastAsia"/>
          <w:sz w:val="32"/>
          <w:szCs w:val="32"/>
        </w:rPr>
        <w:tab/>
        <w:t>学生发展</w:t>
      </w:r>
    </w:p>
    <w:p w:rsidR="005A3F56" w:rsidRPr="005A3F56" w:rsidRDefault="005A3F56" w:rsidP="005A3F56">
      <w:pPr>
        <w:spacing w:line="576" w:lineRule="exact"/>
        <w:ind w:firstLineChars="200" w:firstLine="640"/>
        <w:rPr>
          <w:rFonts w:ascii="仿宋_GB2312" w:eastAsia="仿宋_GB2312" w:hAnsi="仿宋" w:cs="Times New Roman"/>
          <w:sz w:val="32"/>
          <w:szCs w:val="32"/>
        </w:rPr>
      </w:pPr>
      <w:r w:rsidRPr="005A3F56">
        <w:rPr>
          <w:rFonts w:ascii="仿宋_GB2312" w:eastAsia="仿宋_GB2312" w:hAnsi="仿宋" w:cs="Times New Roman" w:hint="eastAsia"/>
          <w:sz w:val="32"/>
          <w:szCs w:val="32"/>
        </w:rPr>
        <w:t>1.精准对标德育，构建乐智德育体系</w:t>
      </w:r>
    </w:p>
    <w:p w:rsidR="005A3F56" w:rsidRPr="005A3F56" w:rsidRDefault="005A3F56" w:rsidP="005A3F56">
      <w:pPr>
        <w:spacing w:line="576" w:lineRule="exact"/>
        <w:ind w:firstLineChars="200" w:firstLine="640"/>
        <w:rPr>
          <w:rFonts w:ascii="仿宋_GB2312" w:eastAsia="仿宋_GB2312" w:hAnsi="仿宋" w:cs="Times New Roman"/>
          <w:sz w:val="32"/>
          <w:szCs w:val="32"/>
        </w:rPr>
      </w:pPr>
      <w:r w:rsidRPr="005A3F56">
        <w:rPr>
          <w:rFonts w:ascii="仿宋_GB2312" w:eastAsia="仿宋_GB2312" w:hAnsi="仿宋" w:cs="Times New Roman" w:hint="eastAsia"/>
          <w:sz w:val="32"/>
          <w:szCs w:val="32"/>
        </w:rPr>
        <w:t>学校以“乐智教育”为引领，构建起科学完善的德育架构。德育目标精准对标义务教育课程标准，确立“明德行、有志向、强担当、善成长”的育人导向，并优化为培育“有志向、有能力、有责任”的乐智少年，方向明确、内涵聚焦。立足学生认知规律与成长特点，构建低中高年级阶梯式德育分层目标，遵循“习惯养成、家国启蒙——责任培育、文化自信——理想塑造、社会担当”的路径，实现德育教育循序渐进、螺旋上升。同时，通过课程赋能、活动落地、评价闭环、协同助力的四维支撑格局，将德育目标融入教育教学全流程，推动育人要求有效落地。</w:t>
      </w:r>
    </w:p>
    <w:p w:rsidR="005A3F56" w:rsidRPr="005A3F56" w:rsidRDefault="005A3F56" w:rsidP="005A3F56">
      <w:pPr>
        <w:spacing w:line="576" w:lineRule="exact"/>
        <w:ind w:firstLineChars="200" w:firstLine="640"/>
        <w:rPr>
          <w:rFonts w:ascii="仿宋_GB2312" w:eastAsia="仿宋_GB2312" w:hAnsi="仿宋" w:cs="Times New Roman"/>
          <w:sz w:val="32"/>
          <w:szCs w:val="32"/>
        </w:rPr>
      </w:pPr>
      <w:r w:rsidRPr="005A3F56">
        <w:rPr>
          <w:rFonts w:ascii="仿宋_GB2312" w:eastAsia="仿宋_GB2312" w:hAnsi="仿宋" w:cs="Times New Roman" w:hint="eastAsia"/>
          <w:sz w:val="32"/>
          <w:szCs w:val="32"/>
        </w:rPr>
        <w:t>2.五育并举育人，提升综合素养水平</w:t>
      </w:r>
    </w:p>
    <w:p w:rsidR="005A3F56" w:rsidRPr="005A3F56" w:rsidRDefault="005A3F56" w:rsidP="005A3F56">
      <w:pPr>
        <w:spacing w:line="576" w:lineRule="exact"/>
        <w:ind w:firstLineChars="200" w:firstLine="640"/>
        <w:rPr>
          <w:rFonts w:ascii="仿宋_GB2312" w:eastAsia="仿宋_GB2312" w:hAnsi="仿宋" w:cs="Times New Roman"/>
          <w:sz w:val="32"/>
          <w:szCs w:val="32"/>
        </w:rPr>
      </w:pPr>
      <w:r w:rsidRPr="005A3F56">
        <w:rPr>
          <w:rFonts w:ascii="仿宋_GB2312" w:eastAsia="仿宋_GB2312" w:hAnsi="仿宋" w:cs="Times New Roman" w:hint="eastAsia"/>
          <w:sz w:val="32"/>
          <w:szCs w:val="32"/>
        </w:rPr>
        <w:t>学校坚持五育并举，扎实推进素养教育，学生综合素养表现优异。系统打造行走课堂、媒介素养、劳动教育、传统节日、综合实践五大德育课程群，常态化开展红色行走、职业初体验等主题活动，实现学生参与率100%；依托“虹线研走”“乐智草本花慧园”等特色品牌，以“一米阳光”增值性评价为抓手，促进学生行为规范、心理健康与综合素养提升。绿色指标测试成绩连年攀升，2024年25项指标大幅高于市、区平均水平，科学、艺术等学科质量稳步提升，体育与健康各维度优秀率全面达标，实现德智体美劳协同发展。</w:t>
      </w:r>
    </w:p>
    <w:p w:rsidR="005A3F56" w:rsidRPr="005A3F56" w:rsidRDefault="005A3F56" w:rsidP="005A3F56">
      <w:pPr>
        <w:spacing w:line="576" w:lineRule="exact"/>
        <w:ind w:firstLineChars="200" w:firstLine="640"/>
        <w:rPr>
          <w:rFonts w:ascii="仿宋_GB2312" w:eastAsia="仿宋_GB2312" w:hAnsi="仿宋" w:cs="Times New Roman"/>
          <w:sz w:val="32"/>
          <w:szCs w:val="32"/>
        </w:rPr>
      </w:pPr>
      <w:r w:rsidRPr="005A3F56">
        <w:rPr>
          <w:rFonts w:ascii="仿宋_GB2312" w:eastAsia="仿宋_GB2312" w:hAnsi="仿宋" w:cs="Times New Roman" w:hint="eastAsia"/>
          <w:sz w:val="32"/>
          <w:szCs w:val="32"/>
        </w:rPr>
        <w:t>3.成果丰硕出彩，彰显乐智育人成效</w:t>
      </w:r>
    </w:p>
    <w:p w:rsidR="005A3F56" w:rsidRPr="005A3F56" w:rsidRDefault="005A3F56" w:rsidP="005A3F56">
      <w:pPr>
        <w:spacing w:line="576" w:lineRule="exact"/>
        <w:ind w:firstLineChars="200" w:firstLine="640"/>
        <w:rPr>
          <w:rFonts w:ascii="仿宋_GB2312" w:eastAsia="仿宋_GB2312" w:hAnsi="仿宋" w:cs="Times New Roman"/>
          <w:sz w:val="32"/>
          <w:szCs w:val="32"/>
        </w:rPr>
      </w:pPr>
      <w:r w:rsidRPr="005A3F56">
        <w:rPr>
          <w:rFonts w:ascii="仿宋_GB2312" w:eastAsia="仿宋_GB2312" w:hAnsi="仿宋" w:cs="Times New Roman" w:hint="eastAsia"/>
          <w:sz w:val="32"/>
          <w:szCs w:val="32"/>
        </w:rPr>
        <w:t>学校“乐智教育”的育人成效显著，学生在各类赛事中屡获佳绩，并荣获虹口区新时代优秀少先队集体，充分展现了乐智融创少年的风采。这些荣誉不仅是对学生个人能力的肯定，更是学校办学理念与育人模式的成果体现，彰显了学校在培养学生核心素养、促进学生全面发展方面的实力，也为学校持续推进“乐智教育”特色品牌建设注入了动力。</w:t>
      </w:r>
    </w:p>
    <w:p w:rsidR="005A3F56" w:rsidRPr="005A3F56" w:rsidRDefault="005A3F56" w:rsidP="005A3F56">
      <w:pPr>
        <w:spacing w:line="576" w:lineRule="exact"/>
        <w:ind w:firstLineChars="200" w:firstLine="640"/>
        <w:rPr>
          <w:rFonts w:ascii="黑体" w:eastAsia="黑体" w:hAnsi="黑体" w:cs="Times New Roman"/>
          <w:sz w:val="32"/>
          <w:szCs w:val="32"/>
        </w:rPr>
      </w:pPr>
      <w:r w:rsidRPr="005A3F56">
        <w:rPr>
          <w:rFonts w:ascii="黑体" w:eastAsia="黑体" w:hAnsi="黑体" w:cs="Times New Roman" w:hint="eastAsia"/>
          <w:sz w:val="32"/>
          <w:szCs w:val="32"/>
        </w:rPr>
        <w:t>三、问题与建议</w:t>
      </w:r>
    </w:p>
    <w:p w:rsidR="002A4DDB" w:rsidRDefault="005A3F56" w:rsidP="005A3F56">
      <w:pPr>
        <w:spacing w:line="576" w:lineRule="exact"/>
        <w:ind w:firstLineChars="200" w:firstLine="640"/>
        <w:rPr>
          <w:rFonts w:ascii="仿宋_GB2312" w:eastAsia="仿宋_GB2312" w:hAnsi="仿宋" w:cs="Times New Roman"/>
          <w:sz w:val="32"/>
          <w:szCs w:val="32"/>
        </w:rPr>
      </w:pPr>
      <w:r w:rsidRPr="005A3F56">
        <w:rPr>
          <w:rFonts w:ascii="仿宋_GB2312" w:eastAsia="仿宋_GB2312" w:hAnsi="仿宋" w:cs="Times New Roman" w:hint="eastAsia"/>
          <w:sz w:val="32"/>
          <w:szCs w:val="32"/>
        </w:rPr>
        <w:t>问题1.学校文化体系系统性有待进一步完善，各板块规划衔接仍可优化。</w:t>
      </w:r>
    </w:p>
    <w:p w:rsidR="005A3F56" w:rsidRPr="005A3F56" w:rsidRDefault="005A3F56" w:rsidP="005A3F56">
      <w:pPr>
        <w:spacing w:line="576" w:lineRule="exact"/>
        <w:ind w:firstLineChars="200" w:firstLine="640"/>
        <w:rPr>
          <w:rFonts w:ascii="仿宋_GB2312" w:eastAsia="仿宋_GB2312" w:hAnsi="仿宋" w:cs="Times New Roman"/>
          <w:sz w:val="32"/>
          <w:szCs w:val="32"/>
        </w:rPr>
      </w:pPr>
      <w:r w:rsidRPr="005A3F56">
        <w:rPr>
          <w:rFonts w:ascii="仿宋_GB2312" w:eastAsia="仿宋_GB2312" w:hAnsi="仿宋" w:cs="Times New Roman" w:hint="eastAsia"/>
          <w:sz w:val="32"/>
          <w:szCs w:val="32"/>
        </w:rPr>
        <w:t>当前学校围绕“乐智”教育主线推进文化建设，整体方向清晰，但文化体系整体统筹设计还可进一步完善。办学顶层规划与德育建设、课程开发、教师发展等各专项规划工作量化落地细则偏少，对“乐智”教育特色的赋能支撑作用还可加强，一定程度上影响学校办学品质的高位提质。</w:t>
      </w:r>
    </w:p>
    <w:p w:rsidR="005A3F56" w:rsidRPr="005A3F56" w:rsidRDefault="005A3F56" w:rsidP="005A3F56">
      <w:pPr>
        <w:spacing w:line="576" w:lineRule="exact"/>
        <w:ind w:firstLineChars="200" w:firstLine="640"/>
        <w:rPr>
          <w:rFonts w:ascii="仿宋_GB2312" w:eastAsia="仿宋_GB2312" w:hAnsi="仿宋" w:cs="Times New Roman"/>
          <w:sz w:val="32"/>
          <w:szCs w:val="32"/>
        </w:rPr>
      </w:pPr>
      <w:r w:rsidRPr="005A3F56">
        <w:rPr>
          <w:rFonts w:ascii="仿宋_GB2312" w:eastAsia="仿宋_GB2312" w:hAnsi="仿宋" w:cs="Times New Roman" w:hint="eastAsia"/>
          <w:sz w:val="32"/>
          <w:szCs w:val="32"/>
        </w:rPr>
        <w:t>建议：一是锚定特色定位，夯实发展根基。作为小规模学校，需立足自身基础精准研判，在合理预设发展目标的前提下，主动把握机遇，在问题预判、落实执行上多维度深耕，通过聚焦关键领域精准突破，以局部亮点进一步带动学校整体发展，持续擦亮“乐智”教育特色品牌；同时加强家校社沟通宣传，凝聚“家门口好学校”的共识。</w:t>
      </w:r>
    </w:p>
    <w:p w:rsidR="005A3F56" w:rsidRPr="005A3F56" w:rsidRDefault="005A3F56" w:rsidP="005A3F56">
      <w:pPr>
        <w:spacing w:line="576" w:lineRule="exact"/>
        <w:ind w:firstLineChars="200" w:firstLine="640"/>
        <w:rPr>
          <w:rFonts w:ascii="仿宋_GB2312" w:eastAsia="仿宋_GB2312" w:hAnsi="仿宋" w:cs="Times New Roman"/>
          <w:sz w:val="32"/>
          <w:szCs w:val="32"/>
        </w:rPr>
      </w:pPr>
      <w:r w:rsidRPr="005A3F56">
        <w:rPr>
          <w:rFonts w:ascii="仿宋_GB2312" w:eastAsia="仿宋_GB2312" w:hAnsi="仿宋" w:cs="Times New Roman" w:hint="eastAsia"/>
          <w:sz w:val="32"/>
          <w:szCs w:val="32"/>
        </w:rPr>
        <w:t>二是优化完善文化架构，强化规划协同性。从目标、策略到方法形成统一的办学理念系统，顶层规划与德育、课程、教师队伍建设等条线规划要建立紧密逻辑关联，规划结果尽量量化，新增项目需补充说明或认证，年度计划要与规划内容深度对接，确保规划落地.</w:t>
      </w:r>
    </w:p>
    <w:p w:rsidR="005A3F56" w:rsidRPr="005A3F56" w:rsidRDefault="005A3F56" w:rsidP="005A3F56">
      <w:pPr>
        <w:spacing w:line="576" w:lineRule="exact"/>
        <w:ind w:firstLineChars="200" w:firstLine="640"/>
        <w:rPr>
          <w:rFonts w:ascii="仿宋_GB2312" w:eastAsia="仿宋_GB2312" w:hAnsi="仿宋" w:cs="Times New Roman"/>
          <w:sz w:val="32"/>
          <w:szCs w:val="32"/>
        </w:rPr>
      </w:pPr>
      <w:r w:rsidRPr="005A3F56">
        <w:rPr>
          <w:rFonts w:ascii="仿宋_GB2312" w:eastAsia="仿宋_GB2312" w:hAnsi="仿宋" w:cs="Times New Roman" w:hint="eastAsia"/>
          <w:sz w:val="32"/>
          <w:szCs w:val="32"/>
        </w:rPr>
        <w:t>问题2.学校"乐智课堂"缺乏明确的标准和量化评估机制，以及数智融合的深度不够，难以满足个性化育人需求。</w:t>
      </w:r>
    </w:p>
    <w:p w:rsidR="005A3F56" w:rsidRPr="005A3F56" w:rsidRDefault="005A3F56" w:rsidP="005A3F56">
      <w:pPr>
        <w:spacing w:line="576" w:lineRule="exact"/>
        <w:ind w:firstLineChars="200" w:firstLine="640"/>
        <w:rPr>
          <w:rFonts w:ascii="仿宋_GB2312" w:eastAsia="仿宋_GB2312" w:hAnsi="仿宋" w:cs="Times New Roman"/>
          <w:sz w:val="32"/>
          <w:szCs w:val="32"/>
        </w:rPr>
      </w:pPr>
      <w:r w:rsidRPr="005A3F56">
        <w:rPr>
          <w:rFonts w:ascii="仿宋_GB2312" w:eastAsia="仿宋_GB2312" w:hAnsi="仿宋" w:cs="Times New Roman" w:hint="eastAsia"/>
          <w:sz w:val="32"/>
          <w:szCs w:val="32"/>
        </w:rPr>
        <w:t>当前学校“乐智课堂”缺乏学段化、学科化的实施标准，典型课例的系统梳理与示范引领有待加强；AI学情监测未形成全流程动态数据支撑，五育融合课程体系未构建分层进阶框架，数智技术与教学场景融合不足，评价机制未充分体现创新素养导向，难以满足个性化育人需求。</w:t>
      </w:r>
    </w:p>
    <w:p w:rsidR="005A3F56" w:rsidRPr="005A3F56" w:rsidRDefault="005A3F56" w:rsidP="005A3F56">
      <w:pPr>
        <w:spacing w:line="576" w:lineRule="exact"/>
        <w:ind w:firstLineChars="200" w:firstLine="640"/>
        <w:rPr>
          <w:rFonts w:ascii="仿宋_GB2312" w:eastAsia="仿宋_GB2312" w:hAnsi="仿宋" w:cs="Times New Roman"/>
          <w:sz w:val="32"/>
          <w:szCs w:val="32"/>
        </w:rPr>
      </w:pPr>
      <w:r w:rsidRPr="005A3F56">
        <w:rPr>
          <w:rFonts w:ascii="仿宋_GB2312" w:eastAsia="仿宋_GB2312" w:hAnsi="仿宋" w:cs="Times New Roman" w:hint="eastAsia"/>
          <w:sz w:val="32"/>
          <w:szCs w:val="32"/>
        </w:rPr>
        <w:t>建议：深化"乐智课堂"内涵，结合学段与学科特点细化实施标准，打造可复制的典型教学案例，形成区域示范效应；升级AI学情监测体系，搭建全流程动态数据平台，为学生建立成长画像，支撑分层教学与个性化辅导；强化数智技术赋能，推动AI与教学全场景深度融合，通过数字化平台制定差异化学习任务，构建多元互助机制实现减负提质；固化项目化与跨学科学习成果，构建低-中-高三阶课程体系，将素养培育融入自主学习全过程，用好校园阵地开发特色校本课程；完善成果评价机制，将创新素养纳入综合素质评价，通过展示激励激活学生问题解决与创新思维，全面提升课程育人实效。</w:t>
      </w:r>
    </w:p>
    <w:p w:rsidR="005A3F56" w:rsidRPr="005A3F56" w:rsidRDefault="005A3F56" w:rsidP="005A3F56">
      <w:pPr>
        <w:spacing w:line="576" w:lineRule="exact"/>
        <w:ind w:firstLineChars="200" w:firstLine="640"/>
        <w:rPr>
          <w:rFonts w:ascii="仿宋_GB2312" w:eastAsia="仿宋_GB2312" w:hAnsi="仿宋" w:cs="Times New Roman"/>
          <w:sz w:val="32"/>
          <w:szCs w:val="32"/>
        </w:rPr>
      </w:pPr>
      <w:r w:rsidRPr="005A3F56">
        <w:rPr>
          <w:rFonts w:ascii="仿宋_GB2312" w:eastAsia="仿宋_GB2312" w:hAnsi="仿宋" w:cs="Times New Roman" w:hint="eastAsia"/>
          <w:sz w:val="32"/>
          <w:szCs w:val="32"/>
        </w:rPr>
        <w:t>问题3.干部队伍结构有待进一步优化调整，同时加速青年教师专业成长。</w:t>
      </w:r>
    </w:p>
    <w:p w:rsidR="005A3F56" w:rsidRPr="005A3F56" w:rsidRDefault="005A3F56" w:rsidP="005A3F56">
      <w:pPr>
        <w:spacing w:line="576" w:lineRule="exact"/>
        <w:ind w:firstLineChars="200" w:firstLine="640"/>
        <w:rPr>
          <w:rFonts w:ascii="仿宋_GB2312" w:eastAsia="仿宋_GB2312" w:hAnsi="仿宋" w:cs="Times New Roman"/>
          <w:sz w:val="32"/>
          <w:szCs w:val="32"/>
        </w:rPr>
      </w:pPr>
      <w:r w:rsidRPr="005A3F56">
        <w:rPr>
          <w:rFonts w:ascii="仿宋_GB2312" w:eastAsia="仿宋_GB2312" w:hAnsi="仿宋" w:cs="Times New Roman" w:hint="eastAsia"/>
          <w:sz w:val="32"/>
          <w:szCs w:val="32"/>
        </w:rPr>
        <w:t>当前学校干部队伍年龄结构不均衡，领导班子及行政中层偏老化，缺乏新鲜力量与跨部门复合型人才，适应教育发展新要求；青年教师培养体系尚需完善，成长帮扶举措不够精细化，激励保障机制仍可优化。骨干教师引领作用未充分发挥，队伍内生动力有待进一步激发。</w:t>
      </w:r>
    </w:p>
    <w:p w:rsidR="005A3F56" w:rsidRPr="005A3F56" w:rsidRDefault="005A3F56" w:rsidP="005A3F56">
      <w:pPr>
        <w:spacing w:line="576" w:lineRule="exact"/>
        <w:ind w:firstLineChars="200" w:firstLine="640"/>
        <w:rPr>
          <w:rFonts w:ascii="仿宋_GB2312" w:eastAsia="仿宋_GB2312" w:hAnsi="仿宋" w:cs="Times New Roman"/>
          <w:sz w:val="32"/>
          <w:szCs w:val="32"/>
        </w:rPr>
      </w:pPr>
      <w:r w:rsidRPr="005A3F56">
        <w:rPr>
          <w:rFonts w:ascii="仿宋_GB2312" w:eastAsia="仿宋_GB2312" w:hAnsi="仿宋" w:cs="Times New Roman" w:hint="eastAsia"/>
          <w:sz w:val="32"/>
          <w:szCs w:val="32"/>
        </w:rPr>
        <w:t xml:space="preserve">建议：针对干部队伍年龄结构问题，推进年轻干部校内轮岗、跨部门锻炼以拓宽视野、提升综合能力，同时发挥年长干部传帮带作用，做好经验传承，从容应对退休潮与教育发展新要求；在教师发展层面，加强整体规划，注重点面结合，通过完善绩效考核激励机制，将“双新”胜任力等关键能力培养纳入考核，同时分析教师最近发展区，为不同教师匹配合适的发展通道与平台。进一步激发骨干教师引领作用与青年教师干事活力，推动队伍整体成长。 </w:t>
      </w:r>
    </w:p>
    <w:p w:rsidR="005A3F56" w:rsidRPr="005A3F56" w:rsidRDefault="005A3F56" w:rsidP="005A3F56">
      <w:pPr>
        <w:spacing w:line="576" w:lineRule="exact"/>
        <w:ind w:firstLineChars="200" w:firstLine="640"/>
        <w:rPr>
          <w:rFonts w:ascii="仿宋_GB2312" w:eastAsia="仿宋_GB2312" w:hAnsi="仿宋" w:cs="Times New Roman"/>
          <w:sz w:val="32"/>
          <w:szCs w:val="32"/>
        </w:rPr>
      </w:pPr>
      <w:r w:rsidRPr="005A3F56">
        <w:rPr>
          <w:rFonts w:ascii="仿宋_GB2312" w:eastAsia="仿宋_GB2312" w:hAnsi="仿宋" w:cs="Times New Roman" w:hint="eastAsia"/>
          <w:sz w:val="32"/>
          <w:szCs w:val="32"/>
        </w:rPr>
        <w:t>问题4.精准育人有待深化，分层支持需均衡落地。</w:t>
      </w:r>
    </w:p>
    <w:p w:rsidR="005A3F56" w:rsidRPr="005A3F56" w:rsidRDefault="005A3F56" w:rsidP="005A3F56">
      <w:pPr>
        <w:spacing w:line="576" w:lineRule="exact"/>
        <w:ind w:firstLineChars="200" w:firstLine="640"/>
        <w:rPr>
          <w:rFonts w:ascii="仿宋_GB2312" w:eastAsia="仿宋_GB2312" w:hAnsi="仿宋" w:cs="Times New Roman"/>
          <w:sz w:val="32"/>
          <w:szCs w:val="32"/>
        </w:rPr>
      </w:pPr>
      <w:r w:rsidRPr="005A3F56">
        <w:rPr>
          <w:rFonts w:ascii="仿宋_GB2312" w:eastAsia="仿宋_GB2312" w:hAnsi="仿宋" w:cs="Times New Roman" w:hint="eastAsia"/>
          <w:sz w:val="32"/>
          <w:szCs w:val="32"/>
        </w:rPr>
        <w:t>学校数智工具已实现“一人一档”，因目前学情数据采集仅覆盖一年级，未实现全学段贯通，学情数据采集—分析—应用链条存在断点，分层教学与个性化辅导在不同学科、班级落实差异大，随迁子女及学习习惯薄弱学生缺乏系统的长期跟踪与阶梯式提升机制，数智赋能精准性不足。</w:t>
      </w:r>
    </w:p>
    <w:p w:rsidR="00C9481C" w:rsidRPr="005A3F56" w:rsidRDefault="005A3F56" w:rsidP="005A3F56">
      <w:pPr>
        <w:spacing w:line="576" w:lineRule="exact"/>
        <w:ind w:firstLineChars="200" w:firstLine="640"/>
      </w:pPr>
      <w:r w:rsidRPr="005A3F56">
        <w:rPr>
          <w:rFonts w:ascii="仿宋_GB2312" w:eastAsia="仿宋_GB2312" w:hAnsi="仿宋" w:cs="Times New Roman" w:hint="eastAsia"/>
          <w:sz w:val="32"/>
          <w:szCs w:val="32"/>
        </w:rPr>
        <w:t>建议：针对学校数智工具应用中的现存问题，可依托新一轮小班化项目，深化融合教育实践，全面推行“一生一策”学习适应档案，按低、中、高学段分别聚焦习惯培养、能力提升、自主发展，打造标准化支持工具包；同时逐步将学情数据采集由一年级推广至全学段，完善数智平台数据采集—分析—应用闭环，定期推送个性化教学建议，推动分层教学与个性化辅导全员覆盖、全程落地，系统建立随迁子女、学习习惯薄弱学生的长期跟踪与阶梯式提升机制，进一步强化数智工具的精准赋能作用。</w:t>
      </w:r>
    </w:p>
    <w:sectPr w:rsidR="00C9481C" w:rsidRPr="005A3F56" w:rsidSect="00ED5BA8">
      <w:footerReference w:type="even" r:id="rId6"/>
      <w:footerReference w:type="default" r:id="rId7"/>
      <w:pgSz w:w="11906" w:h="16838"/>
      <w:pgMar w:top="1440" w:right="1800" w:bottom="1440" w:left="1800" w:header="851" w:footer="992" w:gutter="0"/>
      <w:pgNumType w:fmt="numberInDash"/>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50EC8" w:rsidRDefault="00C50EC8" w:rsidP="00BA3742">
      <w:r>
        <w:separator/>
      </w:r>
    </w:p>
  </w:endnote>
  <w:endnote w:type="continuationSeparator" w:id="0">
    <w:p w:rsidR="00C50EC8" w:rsidRDefault="00C50EC8" w:rsidP="00BA37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方正小标宋简体">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楷体_GB2312">
    <w:panose1 w:val="02010609030101010101"/>
    <w:charset w:val="86"/>
    <w:family w:val="modern"/>
    <w:pitch w:val="fixed"/>
    <w:sig w:usb0="00000001" w:usb1="080E0000" w:usb2="00000010" w:usb3="00000000" w:csb0="0004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83693509"/>
      <w:docPartObj>
        <w:docPartGallery w:val="Page Numbers (Bottom of Page)"/>
        <w:docPartUnique/>
      </w:docPartObj>
    </w:sdtPr>
    <w:sdtEndPr>
      <w:rPr>
        <w:rFonts w:ascii="宋体" w:eastAsia="宋体" w:hAnsi="宋体"/>
        <w:sz w:val="28"/>
        <w:szCs w:val="28"/>
      </w:rPr>
    </w:sdtEndPr>
    <w:sdtContent>
      <w:p w:rsidR="00ED5BA8" w:rsidRDefault="00ED5BA8">
        <w:pPr>
          <w:pStyle w:val="a5"/>
        </w:pPr>
        <w:r w:rsidRPr="00ED5BA8">
          <w:rPr>
            <w:rFonts w:ascii="宋体" w:eastAsia="宋体" w:hAnsi="宋体"/>
            <w:sz w:val="28"/>
            <w:szCs w:val="28"/>
          </w:rPr>
          <w:fldChar w:fldCharType="begin"/>
        </w:r>
        <w:r w:rsidRPr="00ED5BA8">
          <w:rPr>
            <w:rFonts w:ascii="宋体" w:eastAsia="宋体" w:hAnsi="宋体"/>
            <w:sz w:val="28"/>
            <w:szCs w:val="28"/>
          </w:rPr>
          <w:instrText>PAGE   \* MERGEFORMAT</w:instrText>
        </w:r>
        <w:r w:rsidRPr="00ED5BA8">
          <w:rPr>
            <w:rFonts w:ascii="宋体" w:eastAsia="宋体" w:hAnsi="宋体"/>
            <w:sz w:val="28"/>
            <w:szCs w:val="28"/>
          </w:rPr>
          <w:fldChar w:fldCharType="separate"/>
        </w:r>
        <w:r w:rsidR="00792403" w:rsidRPr="00792403">
          <w:rPr>
            <w:rFonts w:ascii="宋体" w:eastAsia="宋体" w:hAnsi="宋体"/>
            <w:noProof/>
            <w:sz w:val="28"/>
            <w:szCs w:val="28"/>
            <w:lang w:val="zh-CN"/>
          </w:rPr>
          <w:t>-</w:t>
        </w:r>
        <w:r w:rsidR="00792403">
          <w:rPr>
            <w:rFonts w:ascii="宋体" w:eastAsia="宋体" w:hAnsi="宋体"/>
            <w:noProof/>
            <w:sz w:val="28"/>
            <w:szCs w:val="28"/>
          </w:rPr>
          <w:t xml:space="preserve"> 10 -</w:t>
        </w:r>
        <w:r w:rsidRPr="00ED5BA8">
          <w:rPr>
            <w:rFonts w:ascii="宋体" w:eastAsia="宋体" w:hAnsi="宋体"/>
            <w:sz w:val="28"/>
            <w:szCs w:val="28"/>
          </w:rPr>
          <w:fldChar w:fldCharType="end"/>
        </w:r>
      </w:p>
    </w:sdtContent>
  </w:sdt>
  <w:p w:rsidR="00ED5BA8" w:rsidRDefault="00ED5BA8">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77252476"/>
      <w:docPartObj>
        <w:docPartGallery w:val="Page Numbers (Bottom of Page)"/>
        <w:docPartUnique/>
      </w:docPartObj>
    </w:sdtPr>
    <w:sdtEndPr>
      <w:rPr>
        <w:rFonts w:ascii="宋体" w:eastAsia="宋体" w:hAnsi="宋体"/>
        <w:sz w:val="28"/>
        <w:szCs w:val="28"/>
      </w:rPr>
    </w:sdtEndPr>
    <w:sdtContent>
      <w:p w:rsidR="00ED5BA8" w:rsidRDefault="00ED5BA8">
        <w:pPr>
          <w:pStyle w:val="a5"/>
          <w:jc w:val="right"/>
        </w:pPr>
        <w:r w:rsidRPr="00ED5BA8">
          <w:rPr>
            <w:rFonts w:ascii="宋体" w:eastAsia="宋体" w:hAnsi="宋体"/>
            <w:sz w:val="28"/>
            <w:szCs w:val="28"/>
          </w:rPr>
          <w:fldChar w:fldCharType="begin"/>
        </w:r>
        <w:r w:rsidRPr="00ED5BA8">
          <w:rPr>
            <w:rFonts w:ascii="宋体" w:eastAsia="宋体" w:hAnsi="宋体"/>
            <w:sz w:val="28"/>
            <w:szCs w:val="28"/>
          </w:rPr>
          <w:instrText>PAGE   \* MERGEFORMAT</w:instrText>
        </w:r>
        <w:r w:rsidRPr="00ED5BA8">
          <w:rPr>
            <w:rFonts w:ascii="宋体" w:eastAsia="宋体" w:hAnsi="宋体"/>
            <w:sz w:val="28"/>
            <w:szCs w:val="28"/>
          </w:rPr>
          <w:fldChar w:fldCharType="separate"/>
        </w:r>
        <w:r w:rsidR="00C50EC8" w:rsidRPr="00C50EC8">
          <w:rPr>
            <w:rFonts w:ascii="宋体" w:eastAsia="宋体" w:hAnsi="宋体"/>
            <w:noProof/>
            <w:sz w:val="28"/>
            <w:szCs w:val="28"/>
            <w:lang w:val="zh-CN"/>
          </w:rPr>
          <w:t>-</w:t>
        </w:r>
        <w:r w:rsidR="00C50EC8">
          <w:rPr>
            <w:rFonts w:ascii="宋体" w:eastAsia="宋体" w:hAnsi="宋体"/>
            <w:noProof/>
            <w:sz w:val="28"/>
            <w:szCs w:val="28"/>
          </w:rPr>
          <w:t xml:space="preserve"> 1 -</w:t>
        </w:r>
        <w:r w:rsidRPr="00ED5BA8">
          <w:rPr>
            <w:rFonts w:ascii="宋体" w:eastAsia="宋体" w:hAnsi="宋体"/>
            <w:sz w:val="28"/>
            <w:szCs w:val="28"/>
          </w:rPr>
          <w:fldChar w:fldCharType="end"/>
        </w:r>
      </w:p>
    </w:sdtContent>
  </w:sdt>
  <w:p w:rsidR="00ED5BA8" w:rsidRDefault="00ED5BA8">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50EC8" w:rsidRDefault="00C50EC8" w:rsidP="00BA3742">
      <w:r>
        <w:separator/>
      </w:r>
    </w:p>
  </w:footnote>
  <w:footnote w:type="continuationSeparator" w:id="0">
    <w:p w:rsidR="00C50EC8" w:rsidRDefault="00C50EC8" w:rsidP="00BA374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evenAndOddHeaders/>
  <w:drawingGridHorizontalSpacing w:val="105"/>
  <w:drawingGridVerticalSpacing w:val="156"/>
  <w:displayHorizontalDrawingGridEvery w:val="0"/>
  <w:displayVerticalDrawingGridEvery w:val="2"/>
  <w:characterSpacingControl w:val="compressPunctuation"/>
  <w:savePreviewPicture/>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6FA8"/>
    <w:rsid w:val="00091E48"/>
    <w:rsid w:val="000A2758"/>
    <w:rsid w:val="000A605A"/>
    <w:rsid w:val="00174760"/>
    <w:rsid w:val="002A4DDB"/>
    <w:rsid w:val="005A384D"/>
    <w:rsid w:val="005A3F56"/>
    <w:rsid w:val="006517CC"/>
    <w:rsid w:val="00666176"/>
    <w:rsid w:val="006C6FA8"/>
    <w:rsid w:val="00792403"/>
    <w:rsid w:val="00B77968"/>
    <w:rsid w:val="00BA3742"/>
    <w:rsid w:val="00BA3FC8"/>
    <w:rsid w:val="00C50EC8"/>
    <w:rsid w:val="00C9481C"/>
    <w:rsid w:val="00ED5BA8"/>
    <w:rsid w:val="00F51DD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82EA1253-8426-49FD-BC37-EA8C4ADAF9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C6FA8"/>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nhideWhenUsed/>
    <w:qFormat/>
    <w:rsid w:val="006C6FA8"/>
    <w:pPr>
      <w:widowControl/>
      <w:spacing w:before="100" w:beforeAutospacing="1" w:after="100" w:afterAutospacing="1"/>
      <w:jc w:val="left"/>
    </w:pPr>
    <w:rPr>
      <w:rFonts w:ascii="宋体" w:eastAsia="宋体" w:hAnsi="宋体" w:cs="宋体"/>
      <w:kern w:val="0"/>
      <w:sz w:val="24"/>
      <w:szCs w:val="24"/>
    </w:rPr>
  </w:style>
  <w:style w:type="paragraph" w:styleId="a4">
    <w:name w:val="header"/>
    <w:basedOn w:val="a"/>
    <w:link w:val="Char"/>
    <w:uiPriority w:val="99"/>
    <w:unhideWhenUsed/>
    <w:rsid w:val="00BA374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rsid w:val="00BA3742"/>
    <w:rPr>
      <w:sz w:val="18"/>
      <w:szCs w:val="18"/>
    </w:rPr>
  </w:style>
  <w:style w:type="paragraph" w:styleId="a5">
    <w:name w:val="footer"/>
    <w:basedOn w:val="a"/>
    <w:link w:val="Char0"/>
    <w:uiPriority w:val="99"/>
    <w:unhideWhenUsed/>
    <w:rsid w:val="00BA3742"/>
    <w:pPr>
      <w:tabs>
        <w:tab w:val="center" w:pos="4153"/>
        <w:tab w:val="right" w:pos="8306"/>
      </w:tabs>
      <w:snapToGrid w:val="0"/>
      <w:jc w:val="left"/>
    </w:pPr>
    <w:rPr>
      <w:sz w:val="18"/>
      <w:szCs w:val="18"/>
    </w:rPr>
  </w:style>
  <w:style w:type="character" w:customStyle="1" w:styleId="Char0">
    <w:name w:val="页脚 Char"/>
    <w:basedOn w:val="a0"/>
    <w:link w:val="a5"/>
    <w:uiPriority w:val="99"/>
    <w:rsid w:val="00BA3742"/>
    <w:rPr>
      <w:sz w:val="18"/>
      <w:szCs w:val="18"/>
    </w:rPr>
  </w:style>
  <w:style w:type="paragraph" w:styleId="a6">
    <w:name w:val="Balloon Text"/>
    <w:basedOn w:val="a"/>
    <w:link w:val="Char1"/>
    <w:uiPriority w:val="99"/>
    <w:semiHidden/>
    <w:unhideWhenUsed/>
    <w:rsid w:val="00F51DD1"/>
    <w:rPr>
      <w:sz w:val="18"/>
      <w:szCs w:val="18"/>
    </w:rPr>
  </w:style>
  <w:style w:type="character" w:customStyle="1" w:styleId="Char1">
    <w:name w:val="批注框文本 Char"/>
    <w:basedOn w:val="a0"/>
    <w:link w:val="a6"/>
    <w:uiPriority w:val="99"/>
    <w:semiHidden/>
    <w:rsid w:val="00F51DD1"/>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898</Words>
  <Characters>5125</Characters>
  <Application>Microsoft Office Word</Application>
  <DocSecurity>0</DocSecurity>
  <Lines>42</Lines>
  <Paragraphs>12</Paragraphs>
  <ScaleCrop>false</ScaleCrop>
  <Company>P R C</Company>
  <LinksUpToDate>false</LinksUpToDate>
  <CharactersWithSpaces>6011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2</cp:revision>
  <cp:lastPrinted>2026-05-28T03:17:00Z</cp:lastPrinted>
  <dcterms:created xsi:type="dcterms:W3CDTF">2026-05-28T23:52:00Z</dcterms:created>
  <dcterms:modified xsi:type="dcterms:W3CDTF">2026-05-28T23:52:00Z</dcterms:modified>
</cp:coreProperties>
</file>